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01.09.2026  |  6 Studien  |  impfen.m-vf.de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Neue mRNA-Impfstoffe gegen COVID-19 in Phase 2: Sicherheit und Immunogenität</w:t>
      </w:r>
    </w:p>
    <w:p>
      <w:r>
        <w:rPr>
          <w:i/>
          <w:color w:val="666666"/>
          <w:sz w:val="18"/>
        </w:rPr>
        <w:t>Wong R et al.  ·  Hum Vaccin Immunother  ·  26.08.2026  ·  PMID 42647564</w:t>
      </w:r>
    </w:p>
    <w:p>
      <w:r>
        <w:t>Phase-2-Studie mit 425 vorgeimpften Erwachsenen in Australien: Vergleich experimenteller bivalenter und monovalenter mRNA-Impfstoffe mit lizenziertem Wuhan/BA.4-5-Impfstoff.</w:t>
      </w:r>
    </w:p>
    <w:p>
      <w:r>
        <w:rPr>
          <w:b/>
        </w:rPr>
        <w:t xml:space="preserve">Ergebnis: </w:t>
      </w:r>
      <w:r>
        <w:t>Überwiegend milde bis moderate Lokalreaktionen. Keine impfstoffbedingten schwerwiegenden Nebenwirkungen oder Myokarditis/Perikarditis. CV0701-Impfstoff (bivalent) zeigte dosisabhängige Neutralisationsantikörper-Anstiege gegen ancestrales D614G und Omicron BA.4-5. CD4+- und CD8+-T-Zell-Antworten in allen Gruppen außer niedrigster CV0701-Dosis.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 Studienzentrum, Phase 2; Sicherheitsprofil übertragbar, Immunogenität Laborbiomarker.</w:t>
      </w:r>
    </w:p>
    <w:p>
      <w:r>
        <w:rPr>
          <w:color w:val="5A7D3A"/>
          <w:sz w:val="18"/>
        </w:rPr>
        <w:t>https://pubmed.ncbi.nlm.nih.gov/42647564/</w:t>
      </w:r>
    </w:p>
    <w:p>
      <w:pPr>
        <w:pStyle w:val="Heading2"/>
      </w:pPr>
      <w:r>
        <w:t>Pertussis-Impfschutz in Schweden durch Durchbruchinfektionen gefährdet</w:t>
      </w:r>
    </w:p>
    <w:p>
      <w:r>
        <w:rPr>
          <w:i/>
          <w:color w:val="666666"/>
          <w:sz w:val="18"/>
        </w:rPr>
        <w:t>Brett TS et al.  ·  PLoS Comput Biol  ·  04.08.2026  ·  PMID 42550879</w:t>
      </w:r>
    </w:p>
    <w:p>
      <w:r>
        <w:t>Mathematisches Modell der Pertussis-Dynamik in Schweden mit empirischen Meldedaten: Kombination aus leaky DTaP-Immunität, Impfstoffschutz-Abnahme und erhöhter Datenerfassung seit 2014.</w:t>
      </w:r>
    </w:p>
    <w:p>
      <w:r>
        <w:rPr>
          <w:b/>
        </w:rPr>
        <w:t xml:space="preserve">Ergebnis: </w:t>
      </w:r>
      <w:r>
        <w:t>Die DTaP-Impfung verhindert etwa 50% der Infektionen bei ungeimpften Neugeborenen (indirekter Schutz). Pertussis-Elimination ist mit azellulärem Impfstoff nicht möglich wegen Impfstoff-Durchlässigkeit und Immunitätsverlust. Der Anstieg der Fallmeldungen ab 2014 wird nicht allein durch echte Infektionszunahme erklärt, sondern auch durch verbesserte Labortestung.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mit detailliertem Surveillance-System; Befund auf Deutschland übertragbar.</w:t>
      </w:r>
    </w:p>
    <w:p>
      <w:r>
        <w:rPr>
          <w:color w:val="5A7D3A"/>
          <w:sz w:val="18"/>
        </w:rPr>
        <w:t>https://pubmed.ncbi.nlm.nih.gov/42550879/</w:t>
      </w:r>
    </w:p>
    <w:p>
      <w:pPr>
        <w:pStyle w:val="Heading2"/>
      </w:pPr>
      <w:r>
        <w:t>Zoster-Impfstoff während Krebstherapie: Umsetzbarkeit und Sicherheit</w:t>
      </w:r>
    </w:p>
    <w:p>
      <w:r>
        <w:rPr>
          <w:i/>
          <w:color w:val="666666"/>
          <w:sz w:val="18"/>
        </w:rPr>
        <w:t>Ciappina G et al.  ·  Hum Vaccin Immunother  ·  30.07.2026  ·  PMID 42529910</w:t>
      </w:r>
    </w:p>
    <w:p>
      <w:r>
        <w:t>Retrospektive Kohorte von 42 Krebspatienten unter systemischer Therapie, denen rekombinanter Zoster-Impfstoff (RZV) angeboten wurde; zwei Dosen im Standard-Abstand.</w:t>
      </w:r>
    </w:p>
    <w:p>
      <w:r>
        <w:rPr>
          <w:b/>
        </w:rPr>
        <w:t xml:space="preserve">Ergebnis: </w:t>
      </w:r>
      <w:r>
        <w:t>37 von 42 (88,1%) vollendeten beide Dosen. Verträglichkeit günstig: Injektionsstellen-Schmerz am häufigsten, Systembeschwerden mild und vorübergehend. Keine schweren impfbezogenen Ereignisse, keine Behandlungsverzögerungen. Nach Median 11,5 Monaten kein dokumentiertes Herpes zoster (aber kleine Fallzahl).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Einzelnes italienisches Zentrum; Machbarkeitsbefund für Impfen unter Immunsuppression relevant.</w:t>
      </w:r>
    </w:p>
    <w:p>
      <w:r>
        <w:rPr>
          <w:color w:val="5A7D3A"/>
          <w:sz w:val="18"/>
        </w:rPr>
        <w:t>https://pubmed.ncbi.nlm.nih.gov/42529910/</w:t>
      </w:r>
    </w:p>
    <w:p>
      <w:pPr>
        <w:pStyle w:val="Heading2"/>
      </w:pPr>
      <w:r>
        <w:t>HPV-Impfbereitschaft bei ländlichen Eltern: Barrieren und Anreize in Äthiopien</w:t>
      </w:r>
    </w:p>
    <w:p>
      <w:r>
        <w:rPr>
          <w:i/>
          <w:color w:val="666666"/>
          <w:sz w:val="18"/>
        </w:rPr>
        <w:t>Zenebe S et al.  ·  PLoS One  ·  22.07.2026  ·  PMID 42485289</w:t>
      </w:r>
    </w:p>
    <w:p>
      <w:r>
        <w:t>Qualitative Studie zu Faktoren der HPV-Impf-Akzeptanz bei Eltern von Mädchen im ländlichen Südäthiopien mittels Fokusgruppen und Einzelinterviews.</w:t>
      </w:r>
    </w:p>
    <w:p>
      <w:r>
        <w:rPr>
          <w:b/>
        </w:rPr>
        <w:t xml:space="preserve">Ergebnis: </w:t>
      </w:r>
      <w:r>
        <w:t>Befürworter: Krebsprävention, elterliche Verantwortung, Vertrauen in Fachkräfte-Empfehlungen. Barrieren: Mangelndes Wissen, fehlende zuverlässige Informationsquellen, Impfskepsis, Angst vor Nebenwirkungen, kulturelle und religiöse Faktoren. Hauptempfehlung: Behörden und Institutionen müssen zusammen gegen erkannte Barrieren vorgehen.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Äthiopien-Setting; Befunde zu Vertrauensfaktoren und Wissensdefiziten weltweit relevant.</w:t>
      </w:r>
    </w:p>
    <w:p>
      <w:r>
        <w:rPr>
          <w:color w:val="5A7D3A"/>
          <w:sz w:val="18"/>
        </w:rPr>
        <w:t>https://pubmed.ncbi.nlm.nih.gov/42485289/</w:t>
      </w:r>
    </w:p>
    <w:p>
      <w:pPr>
        <w:pStyle w:val="Heading2"/>
      </w:pPr>
      <w:r>
        <w:t>CAR-T-Zelltherapie für Autoimmunerkrankungen: Stand und Perspektiven</w:t>
      </w:r>
    </w:p>
    <w:p>
      <w:r>
        <w:rPr>
          <w:i/>
          <w:color w:val="666666"/>
          <w:sz w:val="18"/>
        </w:rPr>
        <w:t>Bachl J et al.  ·  PLoS Med  ·  20.07.2026  ·  PMID 42475287</w:t>
      </w:r>
    </w:p>
    <w:p>
      <w:r>
        <w:t>Überblickartikel zu CAR-T-Zellen (chimäre Antigen-Rezeptoren) in der Behandlung von Autoimmunerkrankungen: bisherige Erfolge und offene Fragen.</w:t>
      </w:r>
    </w:p>
    <w:p>
      <w:r>
        <w:rPr>
          <w:b/>
        </w:rPr>
        <w:t xml:space="preserve">Ergebnis: </w:t>
      </w:r>
      <w:r>
        <w:t>CAR-T-Therapien haben Potenzial, dysfunktionale Immunsysteme zurückzusetzen. Neueste technologische Entwicklungen ermöglichen Hoffnung für Patienten mit therapierefraktären Autoimmunerkrankungen. Zahlreiche Herausforderungen bleiben, insgesamt wird die transformative Wirkung dieser Zelltherapien für künftige Patienten angedeutet.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Überblick ohne primäre Daten; nicht primär impfpräventiv, sondern therapeutisch.</w:t>
      </w:r>
    </w:p>
    <w:p>
      <w:r>
        <w:rPr>
          <w:color w:val="5A7D3A"/>
          <w:sz w:val="18"/>
        </w:rPr>
        <w:t>https://pubmed.ncbi.nlm.nih.gov/42475287/</w:t>
      </w:r>
    </w:p>
    <w:p>
      <w:pPr>
        <w:pStyle w:val="Heading2"/>
      </w:pPr>
      <w:r>
        <w:t>Pentavalent-Impflücke verursachte Diphtherie-Ausbruch in Nigeria</w:t>
      </w:r>
    </w:p>
    <w:p>
      <w:r>
        <w:rPr>
          <w:i/>
          <w:color w:val="666666"/>
          <w:sz w:val="18"/>
        </w:rPr>
        <w:t>Okhuarobo UJ et al.  ·  Pan Afr Med J  ·  10.03.2026  ·  PMID 42465825</w:t>
      </w:r>
    </w:p>
    <w:p>
      <w:r>
        <w:t>Fall-Kontroll-Studie zu Diphtherie-Ausbruch in Kafanchan, Nigeria (Juli-Oktober 2023): Exposition, Kontakte und Impfstatus.</w:t>
      </w:r>
    </w:p>
    <w:p>
      <w:r>
        <w:rPr>
          <w:b/>
        </w:rPr>
        <w:t xml:space="preserve">Ergebnis: </w:t>
      </w:r>
      <w:r>
        <w:t>91 Fälle, medianes Alter 7 Jahre, Fallsterblichkeit 23%. Pentavalent-Impfung: protektiv (aOR 0,39, 95%-KI 0,20–0,77). Kontakt mit respiratorischen Symptomen: OR 37,2 (KI 16,8–82,6). 25% hatten nie Pentavalent erhalten, Grund: Unwissenheit über Nutzen. Verbesserung durch Risikokommunikation und gestärkte Routine-Impfung.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Nigeria-Daten; Mechanism-Befund (Lücken-Ausbruch) global übertragbar.</w:t>
      </w:r>
    </w:p>
    <w:p>
      <w:r>
        <w:rPr>
          <w:color w:val="5A7D3A"/>
          <w:sz w:val="18"/>
        </w:rPr>
        <w:t>https://pubmed.ncbi.nlm.nih.gov/42465825/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2026-09-01T06:00:00Z</dcterms:created>
  <dcterms:modified xsi:type="dcterms:W3CDTF">2026-09-01T06:00:00Z</dcterms:modified>
  <cp:category/>
</cp:coreProperties>
</file>