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Impfen und Impfpraevention</w:t>
      </w:r>
    </w:p>
    <w:p>
      <w:r>
        <w:rPr>
          <w:i/>
          <w:color w:val="666666"/>
          <w:sz w:val="18"/>
        </w:rPr>
        <w:t>Stand: 01.09.2026  |  55 Studien  |  impfen.m-vf.de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Neue mRNA-Impfstoffe gegen COVID-19 in Phase 2: Sicherheit und Immunogenität</w:t>
      </w:r>
    </w:p>
    <w:p>
      <w:r>
        <w:rPr>
          <w:i/>
          <w:color w:val="666666"/>
          <w:sz w:val="18"/>
        </w:rPr>
        <w:t>Wong R et al.  ·  Hum Vaccin Immunother  ·  26.08.2026  ·  PMID 42647564</w:t>
      </w:r>
    </w:p>
    <w:p>
      <w:r>
        <w:t>Phase-2-Studie mit 425 vorgeimpften Erwachsenen in Australien: Vergleich experimenteller bivalenter und monovalenter mRNA-Impfstoffe mit lizenziertem Wuhan/BA.4-5-Impfstoff.</w:t>
      </w:r>
    </w:p>
    <w:p>
      <w:r>
        <w:rPr>
          <w:b/>
        </w:rPr>
        <w:t xml:space="preserve">Ergebnis: </w:t>
      </w:r>
      <w:r>
        <w:t>Überwiegend milde bis moderate Lokalreaktionen. Keine impfstoffbedingten schwerwiegenden Nebenwirkungen oder Myokarditis/Perikarditis. CV0701-Impfstoff (bivalent) zeigte dosisabhängige Neutralisationsantikörper-Anstiege gegen ancestrales D614G und Omicron BA.4-5. CD4+- und CD8+-T-Zell-Antworten in allen Gruppen außer niedrigster CV0701-Dosis.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Australisches Studienzentrum, Phase 2; Sicherheitsprofil übertragbar, Immunogenität Laborbiomarker.</w:t>
      </w:r>
    </w:p>
    <w:p>
      <w:r>
        <w:rPr>
          <w:color w:val="5A7D3A"/>
          <w:sz w:val="18"/>
        </w:rPr>
        <w:t>https://pubmed.ncbi.nlm.nih.gov/42647564/</w:t>
      </w:r>
    </w:p>
    <w:p>
      <w:pPr>
        <w:pStyle w:val="Heading2"/>
      </w:pPr>
      <w:r>
        <w:t>Pertussis-Impfschutz in Schweden durch Durchbruchinfektionen gefährdet</w:t>
      </w:r>
    </w:p>
    <w:p>
      <w:r>
        <w:rPr>
          <w:i/>
          <w:color w:val="666666"/>
          <w:sz w:val="18"/>
        </w:rPr>
        <w:t>Brett TS et al.  ·  PLoS Comput Biol  ·  04.08.2026  ·  PMID 42550879</w:t>
      </w:r>
    </w:p>
    <w:p>
      <w:r>
        <w:t>Mathematisches Modell der Pertussis-Dynamik in Schweden mit empirischen Meldedaten: Kombination aus leaky DTaP-Immunität, Impfstoffschutz-Abnahme und erhöhter Datenerfassung seit 2014.</w:t>
      </w:r>
    </w:p>
    <w:p>
      <w:r>
        <w:rPr>
          <w:b/>
        </w:rPr>
        <w:t xml:space="preserve">Ergebnis: </w:t>
      </w:r>
      <w:r>
        <w:t>Die DTaP-Impfung verhindert etwa 50% der Infektionen bei ungeimpften Neugeborenen (indirekter Schutz). Pertussis-Elimination ist mit azellulärem Impfstoff nicht möglich wegen Impfstoff-Durchlässigkeit und Immunitätsverlust. Der Anstieg der Fallmeldungen ab 2014 wird nicht allein durch echte Infektionszunahme erklärt, sondern auch durch verbesserte Labortestung.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mit detailliertem Surveillance-System; Befund auf Deutschland übertragbar.</w:t>
      </w:r>
    </w:p>
    <w:p>
      <w:r>
        <w:rPr>
          <w:color w:val="5A7D3A"/>
          <w:sz w:val="18"/>
        </w:rPr>
        <w:t>https://pubmed.ncbi.nlm.nih.gov/42550879/</w:t>
      </w:r>
    </w:p>
    <w:p>
      <w:pPr>
        <w:pStyle w:val="Heading2"/>
      </w:pPr>
      <w:r>
        <w:t>Zoster-Impfstoff während Krebstherapie: Umsetzbarkeit und Sicherheit</w:t>
      </w:r>
    </w:p>
    <w:p>
      <w:r>
        <w:rPr>
          <w:i/>
          <w:color w:val="666666"/>
          <w:sz w:val="18"/>
        </w:rPr>
        <w:t>Ciappina G et al.  ·  Hum Vaccin Immunother  ·  30.07.2026  ·  PMID 42529910</w:t>
      </w:r>
    </w:p>
    <w:p>
      <w:r>
        <w:t>Retrospektive Kohorte von 42 Krebspatienten unter systemischer Therapie, denen rekombinanter Zoster-Impfstoff (RZV) angeboten wurde; zwei Dosen im Standard-Abstand.</w:t>
      </w:r>
    </w:p>
    <w:p>
      <w:r>
        <w:rPr>
          <w:b/>
        </w:rPr>
        <w:t xml:space="preserve">Ergebnis: </w:t>
      </w:r>
      <w:r>
        <w:t>37 von 42 (88,1%) vollendeten beide Dosen. Verträglichkeit günstig: Injektionsstellen-Schmerz am häufigsten, Systembeschwerden mild und vorübergehend. Keine schweren impfbezogenen Ereignisse, keine Behandlungsverzögerungen. Nach Median 11,5 Monaten kein dokumentiertes Herpes zoster (aber kleine Fallzahl).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Einzelnes italienisches Zentrum; Machbarkeitsbefund für Impfen unter Immunsuppression relevant.</w:t>
      </w:r>
    </w:p>
    <w:p>
      <w:r>
        <w:rPr>
          <w:color w:val="5A7D3A"/>
          <w:sz w:val="18"/>
        </w:rPr>
        <w:t>https://pubmed.ncbi.nlm.nih.gov/42529910/</w:t>
      </w:r>
    </w:p>
    <w:p>
      <w:pPr>
        <w:pStyle w:val="Heading2"/>
      </w:pPr>
      <w:r>
        <w:t>HPV-Impfbereitschaft bei ländlichen Eltern: Barrieren und Anreize in Äthiopien</w:t>
      </w:r>
    </w:p>
    <w:p>
      <w:r>
        <w:rPr>
          <w:i/>
          <w:color w:val="666666"/>
          <w:sz w:val="18"/>
        </w:rPr>
        <w:t>Zenebe S et al.  ·  PLoS One  ·  22.07.2026  ·  PMID 42485289</w:t>
      </w:r>
    </w:p>
    <w:p>
      <w:r>
        <w:t>Qualitative Studie zu Faktoren der HPV-Impf-Akzeptanz bei Eltern von Mädchen im ländlichen Südäthiopien mittels Fokusgruppen und Einzelinterviews.</w:t>
      </w:r>
    </w:p>
    <w:p>
      <w:r>
        <w:rPr>
          <w:b/>
        </w:rPr>
        <w:t xml:space="preserve">Ergebnis: </w:t>
      </w:r>
      <w:r>
        <w:t>Befürworter: Krebsprävention, elterliche Verantwortung, Vertrauen in Fachkräfte-Empfehlungen. Barrieren: Mangelndes Wissen, fehlende zuverlässige Informationsquellen, Impfskepsis, Angst vor Nebenwirkungen, kulturelle und religiöse Faktoren. Hauptempfehlung: Behörden und Institutionen müssen zusammen gegen erkannte Barrieren vorgehen.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Äthiopien-Setting; Befunde zu Vertrauensfaktoren und Wissensdefiziten weltweit relevant.</w:t>
      </w:r>
    </w:p>
    <w:p>
      <w:r>
        <w:rPr>
          <w:color w:val="5A7D3A"/>
          <w:sz w:val="18"/>
        </w:rPr>
        <w:t>https://pubmed.ncbi.nlm.nih.gov/42485289/</w:t>
      </w:r>
    </w:p>
    <w:p>
      <w:pPr>
        <w:pStyle w:val="Heading2"/>
      </w:pPr>
      <w:r>
        <w:t>CAR-T-Zelltherapie für Autoimmunerkrankungen: Stand und Perspektiven</w:t>
      </w:r>
    </w:p>
    <w:p>
      <w:r>
        <w:rPr>
          <w:i/>
          <w:color w:val="666666"/>
          <w:sz w:val="18"/>
        </w:rPr>
        <w:t>Bachl J et al.  ·  PLoS Med  ·  20.07.2026  ·  PMID 42475287</w:t>
      </w:r>
    </w:p>
    <w:p>
      <w:r>
        <w:t>Überblickartikel zu CAR-T-Zellen (chimäre Antigen-Rezeptoren) in der Behandlung von Autoimmunerkrankungen: bisherige Erfolge und offene Fragen.</w:t>
      </w:r>
    </w:p>
    <w:p>
      <w:r>
        <w:rPr>
          <w:b/>
        </w:rPr>
        <w:t xml:space="preserve">Ergebnis: </w:t>
      </w:r>
      <w:r>
        <w:t>CAR-T-Therapien haben Potenzial, dysfunktionale Immunsysteme zurückzusetzen. Neueste technologische Entwicklungen ermöglichen Hoffnung für Patienten mit therapierefraktären Autoimmunerkrankungen. Zahlreiche Herausforderungen bleiben, insgesamt wird die transformative Wirkung dieser Zelltherapien für künftige Patienten angedeutet.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Überblick ohne primäre Daten; nicht primär impfpräventiv, sondern therapeutisch.</w:t>
      </w:r>
    </w:p>
    <w:p>
      <w:r>
        <w:rPr>
          <w:color w:val="5A7D3A"/>
          <w:sz w:val="18"/>
        </w:rPr>
        <w:t>https://pubmed.ncbi.nlm.nih.gov/42475287/</w:t>
      </w:r>
    </w:p>
    <w:p>
      <w:pPr>
        <w:pStyle w:val="Heading2"/>
      </w:pPr>
      <w:r>
        <w:t>Pentavalent-Impflücke verursachte Diphtherie-Ausbruch in Nigeria</w:t>
      </w:r>
    </w:p>
    <w:p>
      <w:r>
        <w:rPr>
          <w:i/>
          <w:color w:val="666666"/>
          <w:sz w:val="18"/>
        </w:rPr>
        <w:t>Okhuarobo UJ et al.  ·  Pan Afr Med J  ·  10.03.2026  ·  PMID 42465825</w:t>
      </w:r>
    </w:p>
    <w:p>
      <w:r>
        <w:t>Fall-Kontroll-Studie zu Diphtherie-Ausbruch in Kafanchan, Nigeria (Juli-Oktober 2023): Exposition, Kontakte und Impfstatus.</w:t>
      </w:r>
    </w:p>
    <w:p>
      <w:r>
        <w:rPr>
          <w:b/>
        </w:rPr>
        <w:t xml:space="preserve">Ergebnis: </w:t>
      </w:r>
      <w:r>
        <w:t>91 Fälle, medianes Alter 7 Jahre, Fallsterblichkeit 23%. Pentavalent-Impfung: protektiv (aOR 0,39, 95%-KI 0,20–0,77). Kontakt mit respiratorischen Symptomen: OR 37,2 (KI 16,8–82,6). 25% hatten nie Pentavalent erhalten, Grund: Unwissenheit über Nutzen. Verbesserung durch Risikokommunikation und gestärkte Routine-Impfung.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Nigeria-Daten; Mechanism-Befund (Lücken-Ausbruch) global übertragbar.</w:t>
      </w:r>
    </w:p>
    <w:p>
      <w:r>
        <w:rPr>
          <w:color w:val="5A7D3A"/>
          <w:sz w:val="18"/>
        </w:rPr>
        <w:t>https://pubmed.ncbi.nlm.nih.gov/42465825/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Langzeitimmunität nach Hepatitis-B-Impfung bei Menschen mit HIV: 8,5-Jahr-Verlauf in China</w:t>
      </w:r>
    </w:p>
    <w:p>
      <w:r>
        <w:rPr>
          <w:i/>
          <w:color w:val="666666"/>
          <w:sz w:val="18"/>
        </w:rPr>
        <w:t>Yang H et al.  ·  Front Public Health  ·  14.08.2026  ·  PMID 42666258</w:t>
      </w:r>
    </w:p>
    <w:p>
      <w:r>
        <w:t>Retrospektive Kohortenstudie mit 195 HIV-positiven Personen ohne anti-HBs-Schutz, die Heplisav-B erhielten, mit Langzeitfollow-up 1,5-8,5 Jahre.</w:t>
      </w:r>
    </w:p>
    <w:p>
      <w:r>
        <w:rPr>
          <w:b/>
        </w:rPr>
        <w:t xml:space="preserve">Ergebnis: </w:t>
      </w:r>
      <w:r>
        <w:t>Nach 3-4 Dosen initial 98% und 85% Responserate (vs. 77-79% nach 1-2 Dosen). Nach 8,5 Jahren: 83% (3 Dosen) und 88% (4 Dosen) zeigten anhaltende Antikörper &gt;100 IU/mL. Unabhängige Korrelaten: Dosenzahl und frühes serologisches Ansprechen.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Heplisav-B weltweit, zeigt optimale Impfschemata für immungeschwächte Personen</w:t>
      </w:r>
    </w:p>
    <w:p>
      <w:r>
        <w:rPr>
          <w:color w:val="5A7D3A"/>
          <w:sz w:val="18"/>
        </w:rPr>
        <w:t>https://pubmed.ncbi.nlm.nih.gov/42666258/</w:t>
      </w:r>
    </w:p>
    <w:p>
      <w:pPr>
        <w:pStyle w:val="Heading2"/>
      </w:pPr>
      <w:r>
        <w:t>Sozioökonomische Ungleichheiten bei COVID-19-Impfung nigerianischer Frauen</w:t>
      </w:r>
    </w:p>
    <w:p>
      <w:r>
        <w:rPr>
          <w:i/>
          <w:color w:val="666666"/>
          <w:sz w:val="18"/>
        </w:rPr>
        <w:t>Ekholuenetale M  ·  PLoS One  ·  28.08.2026  ·  PMID 42664197</w:t>
      </w:r>
    </w:p>
    <w:p>
      <w:r>
        <w:t>Querschnittsanalyse mit 36.555 Frauen aus Nigeria-Bevölkerungsumfrage 2024 zur Zerlegung sozioökonomischer Disparitäten bei Impfquoten.</w:t>
      </w:r>
    </w:p>
    <w:p>
      <w:r>
        <w:rPr>
          <w:b/>
        </w:rPr>
        <w:t xml:space="preserve">Ergebnis: </w:t>
      </w:r>
      <w:r>
        <w:t>Impfquote bei am wenigsten benachteiligten Frauen 31,6%, bei am stärksten benachteiligten 19,2%. Positive Einflussfaktoren: höhere Bildung, Medienpräsenz, Krankenversicherung, Alter ≥30 Jahre, südliche Regionen. Bildung, Medienexposition und Versicherung trugen am stärksten zu Disparitäten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Nigeria, aber Ungleichheitsmuster zeigen universelle Zugangsbarrieren</w:t>
      </w:r>
    </w:p>
    <w:p>
      <w:r>
        <w:rPr>
          <w:color w:val="5A7D3A"/>
          <w:sz w:val="18"/>
        </w:rPr>
        <w:t>https://pubmed.ncbi.nlm.nih.gov/42664197/</w:t>
      </w:r>
    </w:p>
    <w:p>
      <w:pPr>
        <w:pStyle w:val="Heading2"/>
      </w:pPr>
      <w:r>
        <w:t>COVID-19-Impfquote bei Gemeindeimpfterminen: Dauer, Wochentag und Partnerschaft steigern Reichweite</w:t>
      </w:r>
    </w:p>
    <w:p>
      <w:r>
        <w:rPr>
          <w:i/>
          <w:color w:val="666666"/>
          <w:sz w:val="18"/>
        </w:rPr>
        <w:t>Shakib SH et al.  ·  Viruses  ·  11.08.2026  ·  PMID 42655698</w:t>
      </w:r>
    </w:p>
    <w:p>
      <w:r>
        <w:t>Retrospektive Analyse von 631 Impfterminen (27.767 Dosen) in Kentucky 2021-2022 zu Assoziationen zwischen Veranstaltungsmerkmalen und verabreichten Dosen pro Termin.</w:t>
      </w:r>
    </w:p>
    <w:p>
      <w:r>
        <w:rPr>
          <w:b/>
        </w:rPr>
        <w:t xml:space="preserve">Ergebnis: </w:t>
      </w:r>
      <w:r>
        <w:t>Jede zusätzliche Stunde Veranstaltungsdauer: +21,6% Dosen pro Termin. Wochenendtermine: +87,8% gegenüber Wochentagen. Nicht-regierungsorganisationen: +44,7%; Unternehmen: +110%; medizinische Anbieter: +57,8% gegenüber Government-Terminen. Nur-LMPHW-Termine (ohne Partner): +198,4%.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Zugangsoptimierungen übertragbar auf deutsche Impfstellen</w:t>
      </w:r>
    </w:p>
    <w:p>
      <w:r>
        <w:rPr>
          <w:color w:val="5A7D3A"/>
          <w:sz w:val="18"/>
        </w:rPr>
        <w:t>https://pubmed.ncbi.nlm.nih.gov/42655698/</w:t>
      </w:r>
    </w:p>
    <w:p>
      <w:pPr>
        <w:pStyle w:val="Heading2"/>
      </w:pPr>
      <w:r>
        <w:t>Mütterlicherve RSV-Impfung: Akzeptanz und Kommunikationspräferenzen schwangerer Frauen in England</w:t>
      </w:r>
    </w:p>
    <w:p>
      <w:r>
        <w:rPr>
          <w:i/>
          <w:color w:val="666666"/>
          <w:sz w:val="18"/>
        </w:rPr>
        <w:t>Bell S et al.  ·  Vaccine  ·  13.08.2026  ·  PMID 42497669</w:t>
      </w:r>
    </w:p>
    <w:p>
      <w:r>
        <w:t>Qualitative Studie mit 30 Müttern in England zu Wahrnehmungen der maternalen RSV-Impfung ab 28 Schwangerschaftswochen.</w:t>
      </w:r>
    </w:p>
    <w:p>
      <w:r>
        <w:rPr>
          <w:b/>
        </w:rPr>
        <w:t xml:space="preserve">Ergebnis: </w:t>
      </w:r>
      <w:r>
        <w:t>Hohe Impfbereitschaft, aber Wissenslücken zu RSV-Schweregrad. Mütter bevorzugen Informationen online, schriftlich und durch Hebammen; 84% wollen Impfung in Antenatalbetreuung (nicht separate Praxistermine).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vergleichbares Versorgungssystem, neue Impfempfehlung, übertragbare Zugangsoptimierung</w:t>
      </w:r>
    </w:p>
    <w:p>
      <w:r>
        <w:rPr>
          <w:color w:val="5A7D3A"/>
          <w:sz w:val="18"/>
        </w:rPr>
        <w:t>https://pubmed.ncbi.nlm.nih.gov/42497669/</w:t>
      </w:r>
    </w:p>
    <w:p>
      <w:pPr>
        <w:pStyle w:val="Heading2"/>
      </w:pPr>
      <w:r>
        <w:t>Nutzen-Kosten-Analyse: Atemwegsimpfung bei Erwachsenen ≥65 Jahren in Frankreich</w:t>
      </w:r>
    </w:p>
    <w:p>
      <w:r>
        <w:rPr>
          <w:i/>
          <w:color w:val="666666"/>
          <w:sz w:val="18"/>
        </w:rPr>
        <w:t>Napier M et al.  ·  Expert Rev Vaccines  ·  22.07.2026  ·  PMID 42484014</w:t>
      </w:r>
    </w:p>
    <w:p>
      <w:r>
        <w:t>Ökonomische Analyse zur Rentabilität von Pneumokokken-, RSV-, Influenza- und COVID-19-Impfungen bei älteren Franzosen.</w:t>
      </w:r>
    </w:p>
    <w:p>
      <w:r>
        <w:rPr>
          <w:b/>
        </w:rPr>
        <w:t xml:space="preserve">Ergebnis: </w:t>
      </w:r>
      <w:r>
        <w:t>Nutzen-Kosten-Verhältnis 2,0-8,7€ pro 1€ Ausgaben über Lebenszeit. RSV-Impfung würde Nettonutzen um 6-7% erhöhen. Erreichung ehrgeiziger Impfquoten (z.B. auf 90%) würde Nutzen um 138-175% steigern.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System, zeigt Wirtschaftlichkeit höherer Quoten</w:t>
      </w:r>
    </w:p>
    <w:p>
      <w:r>
        <w:rPr>
          <w:color w:val="5A7D3A"/>
          <w:sz w:val="18"/>
        </w:rPr>
        <w:t>https://pubmed.ncbi.nlm.nih.gov/42484014/</w:t>
      </w:r>
    </w:p>
    <w:p>
      <w:pPr>
        <w:pStyle w:val="Heading2"/>
      </w:pPr>
      <w:r>
        <w:t>Tdap-Impfzeitpunkt in der Schwangerschaft: Antikörperresponse und Plazentaweitergabe</w:t>
      </w:r>
    </w:p>
    <w:p>
      <w:r>
        <w:rPr>
          <w:i/>
          <w:color w:val="666666"/>
          <w:sz w:val="18"/>
        </w:rPr>
        <w:t>De Weerdt L et al.  ·  Vaccine  ·  13.08.2026  ·  PMID 42472495</w:t>
      </w:r>
    </w:p>
    <w:p>
      <w:r>
        <w:t>Prospektive Studie mit 96 schwangeren Frauen in Belgien zur Charakterisierung der Auswirkung des Impfzeitpunkts (16.-32. Woche) auf maternale und neonatale Antikörperprofile.</w:t>
      </w:r>
    </w:p>
    <w:p>
      <w:r>
        <w:rPr>
          <w:b/>
        </w:rPr>
        <w:t xml:space="preserve">Ergebnis: </w:t>
      </w:r>
      <w:r>
        <w:t>Maternale IgG und IgG1 gegen Pertussis, Diphtherie, Tetanus bei späteren Impfungen höher; neonatale Profile vergleichbar. IgG-Transferquoten sanken mit fortgeschrittenerem Gestationsalter, funktionelle Antikörperübertragung kaum beeinflusst.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Versicherungssystem, bestätigt Empfehlung 16.-32. Wochen</w:t>
      </w:r>
    </w:p>
    <w:p>
      <w:r>
        <w:rPr>
          <w:color w:val="5A7D3A"/>
          <w:sz w:val="18"/>
        </w:rPr>
        <w:t>https://pubmed.ncbi.nlm.nih.gov/42472495/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Rapid strain-matched Influenza-Impfung hätte 28.000 Todesfälle in UK-ähnlicher Pandemie verhindert</w:t>
      </w:r>
    </w:p>
    <w:p>
      <w:r>
        <w:rPr>
          <w:i/>
          <w:color w:val="666666"/>
          <w:sz w:val="18"/>
        </w:rPr>
        <w:t>Lovick S et al.  ·  Hum Vaccin Immunother  ·  28.08.2026  ·  PMID 42663142</w:t>
      </w:r>
    </w:p>
    <w:p>
      <w:r>
        <w:t>Dynamisches SEIR-Transmissionsmodell für UK-ähnliche Bevölkerung zur Bewertung Morbidität, Mortalität und Kosten einer frühen zellbasierten vs. eibasierten Pandemie-Impfstoff-Kampagne mit/ohne Maßnahmen.</w:t>
      </w:r>
    </w:p>
    <w:p>
      <w:r>
        <w:rPr>
          <w:b/>
        </w:rPr>
        <w:t xml:space="preserve">Ergebnis: </w:t>
      </w:r>
      <w:r>
        <w:t>16-wöchige Impfkampagne ab 16 Wochen nach Pandemie-Erklärung (ohne Maßnahmen) reduzierte Infektionen um 3,0 Millionen und Todesfälle um 28.000, mit größerem Nutzen in Low-Transmissibility-Szenarien. Zellbasierter Impfstoff reduzierte Todesfälle zusätzlich um 5,0%. Maßnahmen (Durchschnittskosten £208 Mrd.) verbesserten Impfeffektivität, zellbasierter Impfstoff zusätzlich um 0,9%. Verzögerungen erhöhten Mortalität und wirtschaftliche Kosten.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UK-ähnliche Gesundheitssysteme, Modellierung ohne spezifische nationale Daten.</w:t>
      </w:r>
    </w:p>
    <w:p>
      <w:r>
        <w:rPr>
          <w:color w:val="5A7D3A"/>
          <w:sz w:val="18"/>
        </w:rPr>
        <w:t>https://pubmed.ncbi.nlm.nih.gov/42663142/</w:t>
      </w:r>
    </w:p>
    <w:p>
      <w:pPr>
        <w:pStyle w:val="Heading2"/>
      </w:pPr>
      <w:r>
        <w:t>Vertraute Quellen statt digitale Botschaften: Was COVID-19-Skepsis bei Schwarzen schwangeren Frauen senkt</w:t>
      </w:r>
    </w:p>
    <w:p>
      <w:r>
        <w:rPr>
          <w:i/>
          <w:color w:val="666666"/>
          <w:sz w:val="18"/>
        </w:rPr>
        <w:t>Cox E et al.  ·  Front Public Health  ·  12.08.2026  ·  PMID 42656594</w:t>
      </w:r>
    </w:p>
    <w:p>
      <w:r>
        <w:t>Qualitative Studie mit Interviews und Fokusgruppen bei 30 Schwarzen schwangeren und postpartalen Frauen in den USA zum Einfluss von sozialen Medien-Anzeigen auf Impfbereitschaft.</w:t>
      </w:r>
    </w:p>
    <w:p>
      <w:r>
        <w:rPr>
          <w:b/>
        </w:rPr>
        <w:t xml:space="preserve">Ergebnis: </w:t>
      </w:r>
      <w:r>
        <w:t>Geimpfte, religiöse, politisch konservative und verheiratete Frauen zeigten höhere Bereitschaft nach den Anzeigen. Kein einzelnes Messenger-Format oder Inhaltstyp war überlegen. Qualitativ zentral: Vertrauen in sich selbst, Familie, Doulas und Glaubensführer; Misstrauen gegen Staat und Gesundheitssystem sowie medizinischen Rassismus. Persönliches Zeugnis von vertrauten Quellen könnte Akzeptanz stärken.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spezifische Herausforderung für Minderheiten-Vertrauen in Gesundheitssystem.</w:t>
      </w:r>
    </w:p>
    <w:p>
      <w:r>
        <w:rPr>
          <w:color w:val="5A7D3A"/>
          <w:sz w:val="18"/>
        </w:rPr>
        <w:t>https://pubmed.ncbi.nlm.nih.gov/42656594/</w:t>
      </w:r>
    </w:p>
    <w:p>
      <w:pPr>
        <w:pStyle w:val="Heading2"/>
      </w:pPr>
      <w:r>
        <w:t>HPV-geimpfte Jugendliche nutzen Kondome häufiger und kennen mehr über Geschlechtskrankheiten</w:t>
      </w:r>
    </w:p>
    <w:p>
      <w:r>
        <w:rPr>
          <w:i/>
          <w:color w:val="666666"/>
          <w:sz w:val="18"/>
        </w:rPr>
        <w:t>Christensen LD et al.  ·  Dan Med J  ·  09.06.2026  ·  PMID 42592763</w:t>
      </w:r>
    </w:p>
    <w:p>
      <w:r>
        <w:t>Querschnittstudie bei 866 von 1.254 neunten Schulklassen-Schülern (69%) in Dänemark 2020–2024 zu HPV-Impfstatus und Wissen über sexuell übertragbare Infektionen.</w:t>
      </w:r>
    </w:p>
    <w:p>
      <w:r>
        <w:rPr>
          <w:b/>
        </w:rPr>
        <w:t xml:space="preserve">Ergebnis: </w:t>
      </w:r>
      <w:r>
        <w:t>20% der Jugendlichen hatten sexuelle Erfahrung mit Medianalter 14 Jahren. Wissen über drei oder mehr STIs war mit HPV-Impfung assoziiert (p=0,001). 62% nutzten bei letztem Sexualkontakt Kondome und/oder orale Kontrazeptiva; Mädchen 70–80%, Jungen 50–55%. HPV-Geimpfte nutzten Kondome signifikant häufiger.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europäisches Impfprogramm und Bevölkerungsaufbau.</w:t>
      </w:r>
    </w:p>
    <w:p>
      <w:r>
        <w:rPr>
          <w:color w:val="5A7D3A"/>
          <w:sz w:val="18"/>
        </w:rPr>
        <w:t>https://pubmed.ncbi.nlm.nih.gov/42592763/</w:t>
      </w:r>
    </w:p>
    <w:p>
      <w:pPr>
        <w:pStyle w:val="Heading2"/>
      </w:pPr>
      <w:r>
        <w:t>RSV-Impfung bei immungeschwächten Erwachsenen würde Krankheitslast und Kosten in Deutschland senken</w:t>
      </w:r>
    </w:p>
    <w:p>
      <w:r>
        <w:rPr>
          <w:i/>
          <w:color w:val="666666"/>
          <w:sz w:val="18"/>
        </w:rPr>
        <w:t>Quinn E et al.  ·  Expert Rev Vaccines  ·  31.07.2026  ·  PMID 42535735</w:t>
      </w:r>
    </w:p>
    <w:p>
      <w:r>
        <w:t>Kosten-Effektivitätsmodell für RSV-Impfung (RSVpreF) in Deutschland, mit Szenarien für die Erweiterung der STIKO-Empfehlung auf Personen &lt;60 Jahren.</w:t>
      </w:r>
    </w:p>
    <w:p>
      <w:r>
        <w:rPr>
          <w:b/>
        </w:rPr>
        <w:t xml:space="preserve">Ergebnis: </w:t>
      </w:r>
      <w:r>
        <w:t>Gegenwärtig: Empfehlung für 60–74 Jahre und ≥75 Jahre. Erweiterung auf immungeschwächte (IC) Erwachsene 18–59 Jahre würde 6.490 Fälle verhindern, 199 Todesfälle abwenden und 21 Mio. € einsparen. Erweiterung auf IC/chronisch kranke Personen 18–59 Jahre würde 24.545 Fälle und 388 Todesfälle verhindern bei Mehrkosten von 238 Mio. €.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 Versicherungslogik und STIKO-Struktur.</w:t>
      </w:r>
    </w:p>
    <w:p>
      <w:r>
        <w:rPr>
          <w:color w:val="5A7D3A"/>
          <w:sz w:val="18"/>
        </w:rPr>
        <w:t>https://pubmed.ncbi.nlm.nih.gov/42535735/</w:t>
      </w:r>
    </w:p>
    <w:p>
      <w:pPr>
        <w:pStyle w:val="Heading2"/>
      </w:pPr>
      <w:r>
        <w:t>Schützende Antikörper gegen Röteln bei Katalanischen Medizinstudierenden trotz hoher Impfquoten</w:t>
      </w:r>
    </w:p>
    <w:p>
      <w:r>
        <w:rPr>
          <w:i/>
          <w:color w:val="666666"/>
          <w:sz w:val="18"/>
        </w:rPr>
        <w:t>Benito P et al.  ·  Vaccine  ·  13.08.2026  ·  PMID 42501718</w:t>
      </w:r>
    </w:p>
    <w:p>
      <w:r>
        <w:t>Querschnittsstudie an 235 Medizinstudierenden in vier katalanischen Universitäten zur Röteln-Impfquote und Seroprävalenz von Schutzantikörpern.</w:t>
      </w:r>
    </w:p>
    <w:p>
      <w:r>
        <w:rPr>
          <w:b/>
        </w:rPr>
        <w:t xml:space="preserve">Ergebnis: </w:t>
      </w:r>
      <w:r>
        <w:t>94,5% berichteten vollständige Röteln-Impfung; 84,7% hatten schützende Anti-Röteln-IgG-Antikörper, 6,0% grenzwertig und 9,4% negativ. Vollständig Geimpfte waren signifikant häufiger seropositiv (aOR 4,02; 95% CI 1,14–13,11). Nahezu alle Teilnehmenden bewerteten die MMR-Impfung als sicher und wichtig.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vergleichbares Hochschulsystem und Impfkalender.</w:t>
      </w:r>
    </w:p>
    <w:p>
      <w:r>
        <w:rPr>
          <w:color w:val="5A7D3A"/>
          <w:sz w:val="18"/>
        </w:rPr>
        <w:t>https://pubmed.ncbi.nlm.nih.gov/42501718/</w:t>
      </w:r>
    </w:p>
    <w:p>
      <w:pPr>
        <w:pStyle w:val="Heading2"/>
      </w:pPr>
      <w:r>
        <w:t>Catch-up-Impfquoten nach Beratung bei ukrainischen Kinderflüchtlingen in der Schweiz deutlich verbessert</w:t>
      </w:r>
    </w:p>
    <w:p>
      <w:r>
        <w:rPr>
          <w:i/>
          <w:color w:val="666666"/>
          <w:sz w:val="18"/>
        </w:rPr>
        <w:t>Vaezipour N et al.  ·  Eur J Pediatr  ·  23.07.2026  ·  PMID 42489737</w:t>
      </w:r>
    </w:p>
    <w:p>
      <w:r>
        <w:t>Retrospektive Kohortenstudie bei 517 ukrainischen Kinderflüchtlingen in fünf Schweizer Zentren zur Durchimpfung und Infektionsscreening.</w:t>
      </w:r>
    </w:p>
    <w:p>
      <w:r>
        <w:rPr>
          <w:b/>
        </w:rPr>
        <w:t xml:space="preserve">Ergebnis: </w:t>
      </w:r>
      <w:r>
        <w:t>Bei Ankunft 71–82% altersentsprechend geimpft gegen Masern, Diphtherie-Tetanus-Pertussis, Poliomyelitis und Haemophilus influenzae b; Hauptgrund für Lücken war Impfskepsis. Nach Impfberatung/Catch-up-Programme: 98% (509/517) vollständig geimpft. Infektionsscreening-Positivraten niedrig: HIV 2,7%, Hepatitis B 1,6%, Tuberkulose 1,0%.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vergleichbares Versicherungssystem und Versorgungsauftrag.</w:t>
      </w:r>
    </w:p>
    <w:p>
      <w:r>
        <w:rPr>
          <w:color w:val="5A7D3A"/>
          <w:sz w:val="18"/>
        </w:rPr>
        <w:t>https://pubmed.ncbi.nlm.nih.gov/42489737/</w:t>
      </w:r>
    </w:p>
    <w:p>
      <w:pPr>
        <w:pStyle w:val="Heading2"/>
      </w:pPr>
      <w:r>
        <w:t>Impfdurchbrüche mit Pneumokokken-Serotyp 3 trotz hoher PCV13-Abdeckung bei Kindern</w:t>
      </w:r>
    </w:p>
    <w:p>
      <w:r>
        <w:rPr>
          <w:i/>
          <w:color w:val="666666"/>
          <w:sz w:val="18"/>
        </w:rPr>
        <w:t>Ciruela P et al.  ·  Vaccine  ·  13.08.2026  ·  PMID 42486053</w:t>
      </w:r>
    </w:p>
    <w:p>
      <w:r>
        <w:t>Retrospektive Beobachtungsstudie zu invasiven Pneumokokken-Erkrankungen bei 206 PCV13-geimpften Kindern in Katalonien 2018–2023 mit Impfquoten &gt;96%.</w:t>
      </w:r>
    </w:p>
    <w:p>
      <w:r>
        <w:rPr>
          <w:b/>
        </w:rPr>
        <w:t xml:space="preserve">Ergebnis: </w:t>
      </w:r>
      <w:r>
        <w:t>48,0% vollständig Geimpfter (n=177) zeigten Impfversagen, vorwiegend durch Serotyp 3 (84,7% der Fälle). Im Vergleich zur Vor-PCV13-Ära war der Schutz länger haltbar, aber der Anteil von Serotyp-3-Durchbrüchen blieb erheblich. Ausschluss von Serotyp 3 senkte die Impfversagensrate von 48,0% auf 12,4%.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vergleichbares Impfprogramm und Surveillance-System.</w:t>
      </w:r>
    </w:p>
    <w:p>
      <w:r>
        <w:rPr>
          <w:color w:val="5A7D3A"/>
          <w:sz w:val="18"/>
        </w:rPr>
        <w:t>https://pubmed.ncbi.nlm.nih.gov/42486053/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Dezentralisierte CAR-T-Zelltherapie: Phase-1-Sicherheit und Machbarkeit</w:t>
      </w:r>
    </w:p>
    <w:p>
      <w:r>
        <w:rPr>
          <w:i/>
          <w:color w:val="666666"/>
          <w:sz w:val="18"/>
        </w:rPr>
        <w:t>Kersten MJ et al.  ·  Lancet Haematol  ·  Sept. 2026  ·  PMID 42660131</w:t>
      </w:r>
    </w:p>
    <w:p>
      <w:r>
        <w:t>Phase-1-Dosis-Eskalationsstudie der dezentralisierten Fertigung von CD19-CAR-T-Zellen (GLPG5101) bei 24 Patienten mit rezidiviertem/refraktärem B-Zell-Non-Hodgkin-Lymphom in Niederlanden und Belgien (März 2022–September 2024).</w:t>
      </w:r>
    </w:p>
    <w:p>
      <w:r>
        <w:rPr>
          <w:b/>
        </w:rPr>
        <w:t xml:space="preserve">Ergebnis: </w:t>
      </w:r>
      <w:r>
        <w:t>Fünf dosislimitierende Toxizitäten berichtet: Grad-3-Thrombozytopenie (n=1), Tod durch intra-abdominale Blutung (n=1), Grad-4-Neutropenie (n=3). Vier therapiebedingte Todesfälle insgesamt. Empfohlene Phase-2-Dosis: 110 × 10⁶ (Bereich 50–110 × 10⁶) CAR⁺-T-Zellen. Studie zeigte Machbarkeit schneller dezentralisierter Fertigung und Lieferung.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Niederlande/Belgien, dezentralisierte Herstellung lokal lösbar, aber CAR-T grundsätzlich komplexes spezialisiertes Therapieverfahren</w:t>
      </w:r>
    </w:p>
    <w:p>
      <w:r>
        <w:rPr>
          <w:color w:val="5A7D3A"/>
          <w:sz w:val="18"/>
        </w:rPr>
        <w:t>https://pubmed.ncbi.nlm.nih.gov/42660131/</w:t>
      </w:r>
    </w:p>
    <w:p>
      <w:pPr>
        <w:pStyle w:val="Heading2"/>
      </w:pPr>
      <w:r>
        <w:t>Pränatalintervention für Impfakzeptanz durch Bürgerbeteiligung entwickelt</w:t>
      </w:r>
    </w:p>
    <w:p>
      <w:r>
        <w:rPr>
          <w:i/>
          <w:color w:val="666666"/>
          <w:sz w:val="18"/>
        </w:rPr>
        <w:t>McCarron SA et al.  ·  Health Expect  ·  Aug. 2026  ·  PMID 42550057</w:t>
      </w:r>
    </w:p>
    <w:p>
      <w:r>
        <w:t>Partizipative Entwicklung einer Antenatalintervention zur Förderung der Impfakzeptanz in Nordirland mit Eltern, Patienten und Öffentlichkeit (Maternity Service Liaison Committee, Sure Start-Programme, aufsuchende Klinik für Ostriesische Gemeinde).</w:t>
      </w:r>
    </w:p>
    <w:p>
      <w:r>
        <w:rPr>
          <w:b/>
        </w:rPr>
        <w:t xml:space="preserve">Ergebnis: </w:t>
      </w:r>
      <w:r>
        <w:t>Input von Eltern und Gemeindevertreter prägte Inhalt, Timing und Präsentation der Impfinformation. Wichtigste Erkenntnisse: klare, einfache Sprachinformation früh in der Schwangerschaft erforderlich, Informationen müssen an verschiedene Bedürfnisse zugeschnitten werden. Vertrauen in etablierte Netzwerke unterstützte Engagement mit unterrepräsentierten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UK-System; Methode der Bürgerbeteiligung übertragbar, aber Antenatalstrukturen unterscheiden sich</w:t>
      </w:r>
    </w:p>
    <w:p>
      <w:r>
        <w:rPr>
          <w:color w:val="5A7D3A"/>
          <w:sz w:val="18"/>
        </w:rPr>
        <w:t>https://pubmed.ncbi.nlm.nih.gov/42550057/</w:t>
      </w:r>
    </w:p>
    <w:p>
      <w:pPr>
        <w:pStyle w:val="Heading2"/>
      </w:pPr>
      <w:r>
        <w:t>Mpox-Impfstoff Jynneos: Sicherheitsprofil während Ausbruch in Deutschland bestätigt</w:t>
      </w:r>
    </w:p>
    <w:p>
      <w:r>
        <w:rPr>
          <w:i/>
          <w:color w:val="666666"/>
          <w:sz w:val="18"/>
        </w:rPr>
        <w:t>Oberle D et al.  ·  Euro Surveill  ·  Juli 2026  ·  PMID 42535289</w:t>
      </w:r>
    </w:p>
    <w:p>
      <w:r>
        <w:t>Überwachung unerwünschter Ereignisse nach MVA-BN-Impfung gegen Mpox in Deutschland Juni 2022 bis Februar 2024 bei 78.739 verabreichten Dosen.</w:t>
      </w:r>
    </w:p>
    <w:p>
      <w:r>
        <w:rPr>
          <w:b/>
        </w:rPr>
        <w:t xml:space="preserve">Ergebnis: </w:t>
      </w:r>
      <w:r>
        <w:t>32 Einzelfallberichte wurden identifiziert, davon 7 schwerwiegend; 87 unerwünschte Ereignisse insgesamt gemeldet (98,7 pro 100.000 Dosen adjustiert). Das Sicherheitsprofil entsprach der Produktcharakterisierung; keine neuen Sicherheitssignale wurden identifiziert. Lokale und systemische Reaktionen waren überwiegend mild bis moderat.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eigenes Surveillancesystem, direkt übertragbar</w:t>
      </w:r>
    </w:p>
    <w:p>
      <w:r>
        <w:rPr>
          <w:color w:val="5A7D3A"/>
          <w:sz w:val="18"/>
        </w:rPr>
        <w:t>https://pubmed.ncbi.nlm.nih.gov/42535289/</w:t>
      </w:r>
    </w:p>
    <w:p>
      <w:pPr>
        <w:pStyle w:val="Heading2"/>
      </w:pPr>
      <w:r>
        <w:t>Determinanten der Influenza- und COVID-19-Impfquoten bei Hochrisikopatienten</w:t>
      </w:r>
    </w:p>
    <w:p>
      <w:r>
        <w:rPr>
          <w:i/>
          <w:color w:val="666666"/>
          <w:sz w:val="18"/>
        </w:rPr>
        <w:t>Grape L et al.  ·  Hum Vaccin Immunother  ·  28.07.2026  ·  PMID 42518305</w:t>
      </w:r>
    </w:p>
    <w:p>
      <w:r>
        <w:t>Querschnittsstudie mit semistandardisierten Interviews und Patientenakten bei 600 Notaufnahme-Patienten in Nordschweden zur Identifikation von Impfquoten und Barrieren bei Hochrisikogruppen.</w:t>
      </w:r>
    </w:p>
    <w:p>
      <w:r>
        <w:rPr>
          <w:b/>
        </w:rPr>
        <w:t xml:space="preserve">Ergebnis: </w:t>
      </w:r>
      <w:r>
        <w:t>Quote unter berechtigten Personen: 52,0% für Influenza, 54,2% für COVID-19. Koinfektion beider Impfstoffe hoch (aOR 55,33). Männliches Geschlecht (aOR 0,57), jüngeres Alter (aOR 0,50), Rauchen (aOR 0,43) und nur altersbasierte Berechtigung (aOR 0,41) waren mit niedriger Impfakzeptanz assoziiert. Gemeindeebene-Determinanten zeigten wenig Einfluss.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deutsches Versicherungssystem ähnlich, aber Datenquellen und Populationsmerkmale unterscheiden sich</w:t>
      </w:r>
    </w:p>
    <w:p>
      <w:r>
        <w:rPr>
          <w:color w:val="5A7D3A"/>
          <w:sz w:val="18"/>
        </w:rPr>
        <w:t>https://pubmed.ncbi.nlm.nih.gov/42518305/</w:t>
      </w:r>
    </w:p>
    <w:p>
      <w:pPr>
        <w:pStyle w:val="Heading2"/>
      </w:pPr>
      <w:r>
        <w:t>Null-Dosis-Kinder in Madagaskar identifizieren und erreichen</w:t>
      </w:r>
    </w:p>
    <w:p>
      <w:r>
        <w:rPr>
          <w:i/>
          <w:color w:val="666666"/>
          <w:sz w:val="18"/>
        </w:rPr>
        <w:t>Muller N et al.  ·  Bull World Health Organ  ·  01.08.2026  ·  PMID 42516117</w:t>
      </w:r>
    </w:p>
    <w:p>
      <w:r>
        <w:t>Gemeindegestützte Erhebung zur Ermittlung von Kindern ohne DTP-Impfdokumentation in 16 südmadagassischen Distrikten (August 2024–Juni 2025) mit 3.975 ausgebildeten Gemeindegesundheitshelfern und digitalen Werkzeugen.</w:t>
      </w:r>
    </w:p>
    <w:p>
      <w:r>
        <w:rPr>
          <w:b/>
        </w:rPr>
        <w:t xml:space="preserve">Ergebnis: </w:t>
      </w:r>
      <w:r>
        <w:t>81% der fokontanys (3.538/4.347) aktualisierten Register. Von 368.227 erfassten Kindern unter 5 Jahren hatten 58% (213.173) keine dokumentierte DTP-Dosis. Distriktweite Prävalenz von Null-Dosis-Kindern lag zwischen 25% und 86%. 42.700 Null-Dosis-Kinder wurden mit DTP geimpft und übertrafen Programmziel vorzeitig.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Afrikanisches Setting; Digitale Hilfsmittel und Community-Engagement lokal anpassbar, aber Registrierungsinfrastruktur grundverschieden von Deutschland</w:t>
      </w:r>
    </w:p>
    <w:p>
      <w:r>
        <w:rPr>
          <w:color w:val="5A7D3A"/>
          <w:sz w:val="18"/>
        </w:rPr>
        <w:t>https://pubmed.ncbi.nlm.nih.gov/42516117/</w:t>
      </w:r>
    </w:p>
    <w:p>
      <w:pPr>
        <w:pStyle w:val="Heading2"/>
      </w:pPr>
      <w:r>
        <w:t>Impfskepsis im Kriegsgebiet Ukraine: Verhaltensmodellierung von Umfragedaten</w:t>
      </w:r>
    </w:p>
    <w:p>
      <w:r>
        <w:rPr>
          <w:i/>
          <w:color w:val="666666"/>
          <w:sz w:val="18"/>
        </w:rPr>
        <w:t>Naeem A et al.  ·  Health Policy  ·  17.07.2026  ·  PMID 42508188</w:t>
      </w:r>
    </w:p>
    <w:p>
      <w:r>
        <w:t>Agent-basierte Modellierung (ABM) von Impfverhalten in der konfliktbetroffenen Ukraine basierend auf Querschnittsbefragung in 557 Hromadas unter laufendem Krieg; Simulation der Wechselwirkung zwischen Verhaltens-, Struktur- und Sozialvariablen.</w:t>
      </w:r>
    </w:p>
    <w:p>
      <w:r>
        <w:rPr>
          <w:b/>
        </w:rPr>
        <w:t xml:space="preserve">Ergebnis: </w:t>
      </w:r>
      <w:r>
        <w:t>ABM zeigte, dass Impfakzeptanz durch Wechselspiel von Zugangsbarrieren und Peereinfluss gesteuert wird. Glaubenswechsel erreichten 88%; Vakzinierungsquote stieg um 3–15% durch Zugangsbeseitigung. Peer-Dynamiken erhöhten Impfquoten auf 69–89%. Peer-Konformität war dominanter Treiber, was auf Kollektivmechanismus zwischen Sozialsteckung und Verhaltensadoption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Konfliktzone, begrenzt auf Kriegssituationen übertragbar; Methodologie der Verhaltensmodellierung relevant</w:t>
      </w:r>
    </w:p>
    <w:p>
      <w:r>
        <w:rPr>
          <w:color w:val="5A7D3A"/>
          <w:sz w:val="18"/>
        </w:rPr>
        <w:t>https://pubmed.ncbi.nlm.nih.gov/42508188/</w:t>
      </w:r>
    </w:p>
    <w:p>
      <w:pPr>
        <w:pStyle w:val="Heading2"/>
      </w:pPr>
      <w:r>
        <w:t>XBB.1.5-Impfstoff gegen schwere COVID-19 bei immungeschwächten Erwachsenen</w:t>
      </w:r>
    </w:p>
    <w:p>
      <w:r>
        <w:rPr>
          <w:i/>
          <w:color w:val="666666"/>
          <w:sz w:val="18"/>
        </w:rPr>
        <w:t>Blake A et al.  ·  Expert Rev Vaccines  ·  31.12.2026  ·  PMID 42504085</w:t>
      </w:r>
    </w:p>
    <w:p>
      <w:r>
        <w:t>Retrospektive multländer-Kohortenstudie mit elektronischen Gesundheitsakten in Belgien, Dänemark, Italien, Portugal, Spanien (Navarra) und Schweden zur Wirksamkeit des angepassten XBB.1.5-Impfstoffs gegen Hospitalisierung und Tod bei Immungeschwächten (ICPs).</w:t>
      </w:r>
    </w:p>
    <w:p>
      <w:r>
        <w:rPr>
          <w:b/>
        </w:rPr>
        <w:t xml:space="preserve">Ergebnis: </w:t>
      </w:r>
      <w:r>
        <w:t>XBB.1.5-Impfstoffwirksamkeit (VE) betrug 52% (95%-KI 41–60) gegen Hospitalisierung und 75% (95%-KI 60–84) gegen Tod in den ersten 14–59 Tagen nach Impfung. VE nahm mit zeitlichem Abstand ab; kein Schutz mehr nach 180–365 Tagen. Moderate Schutzwirkung innerhalb von 120 Tagen beobachtet.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EHR-Netzwerk; vergleichbare Gesundheitssysteme (Belgien, Dänemark, Schweden, südliche EU)</w:t>
      </w:r>
    </w:p>
    <w:p>
      <w:r>
        <w:rPr>
          <w:color w:val="5A7D3A"/>
          <w:sz w:val="18"/>
        </w:rPr>
        <w:t>https://pubmed.ncbi.nlm.nih.gov/42504085/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Influenza-Impfung reduziert Todesfälle bei hospitalisiertem älteren Alter</w:t>
      </w:r>
    </w:p>
    <w:p>
      <w:r>
        <w:rPr>
          <w:i/>
          <w:color w:val="666666"/>
          <w:sz w:val="18"/>
        </w:rPr>
        <w:t>Marques DFP et al.  ·  Expert Rev Vaccines  ·  27.08.2026  ·  PMID 42657682</w:t>
      </w:r>
    </w:p>
    <w:p>
      <w:r>
        <w:t>Retrospektive Kohortenstudie aus dem europäischen I-MOVE-Netzwerk untersuchte die Assoziation zwischen Influenza-Impfung und schweren Outcomes bei ≥65-jährigen mit laborbestätigter Influenza (2015/16–2024/25).</w:t>
      </w:r>
    </w:p>
    <w:p>
      <w:r>
        <w:rPr>
          <w:b/>
        </w:rPr>
        <w:t xml:space="preserve">Ergebnis: </w:t>
      </w:r>
      <w:r>
        <w:t>Bei 4.257 Patienten zeigte Impfung wenig Assoziation mit ICU-Aufnahmen (RRR 11 %, 95% CI: -21–34), aber war mit 26-prozentiger Reduktion der Todesfälle während Hospitalisierung assoziiert (95% CI: 3–43). In der älteren Gruppe ≥80 Jahre betrug die Reduktion der In-Hospital-Mortalität 29%.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Klinikdaten, vergleichbare Dokumentationspflichten, direkt auf Deutschland übertragbar.</w:t>
      </w:r>
    </w:p>
    <w:p>
      <w:r>
        <w:rPr>
          <w:color w:val="5A7D3A"/>
          <w:sz w:val="18"/>
        </w:rPr>
        <w:t>https://pubmed.ncbi.nlm.nih.gov/42657682/</w:t>
      </w:r>
    </w:p>
    <w:p>
      <w:pPr>
        <w:pStyle w:val="Heading2"/>
      </w:pPr>
      <w:r>
        <w:t>Unregistrierte Migranten-Kinder unterimpft: Rechtszugang ist zentral</w:t>
      </w:r>
    </w:p>
    <w:p>
      <w:r>
        <w:rPr>
          <w:i/>
          <w:color w:val="666666"/>
          <w:sz w:val="18"/>
        </w:rPr>
        <w:t>Oo SM et al.  ·  Med Sci (Basel)  ·  02.08.2026  ·  PMID 42646586</w:t>
      </w:r>
    </w:p>
    <w:p>
      <w:r>
        <w:t>Querschnittstudie mit 423 burmesischen Migrantenkinder unter 7 Jahren in Nord-Thailand; Faktoren für unvollständige Impfungen wurden gemessen (2025).</w:t>
      </w:r>
    </w:p>
    <w:p>
      <w:r>
        <w:rPr>
          <w:b/>
        </w:rPr>
        <w:t xml:space="preserve">Ergebnis: </w:t>
      </w:r>
      <w:r>
        <w:t>21,5 % waren unterimpft. Unabhängige Risikofaktoren: Fehlen von Geburtsregistrierung (aOR 9,52, 95% CI 3,74–24,27), fehlende Krankenversicherung (aOR 14,03, 95% CI 6,45–30,54), Rückkehr-Migration (aOR 19,05, 95% CI 8,48–44,13), Zeitbarrieren (aOR 4,09, 95% CI 1,20–13,94) und finanzielle Barrieren (aOR 7,07, 95% CI 1,67–29,91).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Thailand; zeigt strukturelle Hürden bei Migranten; relevante Erkenntnisse für Deutschland bei Flucht und Asyl.</w:t>
      </w:r>
    </w:p>
    <w:p>
      <w:r>
        <w:rPr>
          <w:color w:val="5A7D3A"/>
          <w:sz w:val="18"/>
        </w:rPr>
        <w:t>https://pubmed.ncbi.nlm.nih.gov/42646586/</w:t>
      </w:r>
    </w:p>
    <w:p>
      <w:pPr>
        <w:pStyle w:val="Heading2"/>
      </w:pPr>
      <w:r>
        <w:t>Impfskepsis ist stärkste Barriere in fragiler Lage: Somaliisches Feldbeispiel</w:t>
      </w:r>
    </w:p>
    <w:p>
      <w:r>
        <w:rPr>
          <w:i/>
          <w:color w:val="666666"/>
          <w:sz w:val="18"/>
        </w:rPr>
        <w:t>Abdi MS et al.  ·  Front Public Health  ·  11.08.2026  ·  PMID 42643472</w:t>
      </w:r>
    </w:p>
    <w:p>
      <w:r>
        <w:t>Querschnittsbefragung von 384 Betreuungspersonen in IDP-Lagern in Mogadischu nach Diphtherie-Impfkampagne; Einflussfaktoren auf Durchimpfung wurden geprüft (2026).</w:t>
      </w:r>
    </w:p>
    <w:p>
      <w:r>
        <w:rPr>
          <w:b/>
        </w:rPr>
        <w:t xml:space="preserve">Ergebnis: </w:t>
      </w:r>
      <w:r>
        <w:t>Gesamte Impfquote 57,6 %. Höhere Impfbedenken-Scores (Vaccine Safety Concern Scale) waren mit deutlich niedrigerem Impfrisiko assoziiert (aOR 0,72, 95% CI 0,57–0,90). Schulbildung der Eltern, Vertrauen in Gesundheitsarbeiter und wahrgenommener Zugang waren nicht signifikant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Somaliisch; zeigt, dass Sicherheitsbedenken auch bei fragilen Populationen zentral sind; Lernpunkte für Notfall-Impfkampagnen.</w:t>
      </w:r>
    </w:p>
    <w:p>
      <w:r>
        <w:rPr>
          <w:color w:val="5A7D3A"/>
          <w:sz w:val="18"/>
        </w:rPr>
        <w:t>https://pubmed.ncbi.nlm.nih.gov/42643472/</w:t>
      </w:r>
    </w:p>
    <w:p>
      <w:pPr>
        <w:pStyle w:val="Heading2"/>
      </w:pPr>
      <w:r>
        <w:t>Gesunde-Impfling-Effekt bei COVID-19-Vakzine in älteren Gruppen</w:t>
      </w:r>
    </w:p>
    <w:p>
      <w:r>
        <w:rPr>
          <w:i/>
          <w:color w:val="666666"/>
          <w:sz w:val="18"/>
        </w:rPr>
        <w:t>Lyth J et al.  ·  Nat Commun  ·  08.08.2026  ·  PMID 42570961</w:t>
      </w:r>
    </w:p>
    <w:p>
      <w:r>
        <w:t>Schwedenweite Kohortenstudie in Bevölkerung ≥65 Jahren untersuchte die Effektivität der 2024–2025 JN.1-adaptierten COVID-19-Vakzine gegen Hospitalisierung und als Negativkontrolle All-Cause-Mortalität (N=245.696, Oktober 2024–März 2025).</w:t>
      </w:r>
    </w:p>
    <w:p>
      <w:r>
        <w:rPr>
          <w:b/>
        </w:rPr>
        <w:t xml:space="preserve">Ergebnis: </w:t>
      </w:r>
      <w:r>
        <w:t>VE gegen COVID-Hospitalisierung 75 % (95% CI 70–79 %), bei Vorimpfung 2023–24 sogar 84 % (95% CI 80–87 %). Kritisch: All-Cause-Mortalität (Negativkontrolle) war in der geimpften Gruppe um 57 % niedriger (HR 0,43, 95% CI 0,40–0,45), was auf Selektionseffekte durch Frailty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Skandinavisch, vergleichbares Versorgungssystem; Befund zu Selektionsverzerrung universell relevant.</w:t>
      </w:r>
    </w:p>
    <w:p>
      <w:r>
        <w:rPr>
          <w:color w:val="5A7D3A"/>
          <w:sz w:val="18"/>
        </w:rPr>
        <w:t>https://pubmed.ncbi.nlm.nih.gov/42570961/</w:t>
      </w:r>
    </w:p>
    <w:p>
      <w:pPr>
        <w:pStyle w:val="Heading2"/>
      </w:pPr>
      <w:r>
        <w:t>Schulungskurs verbessert Wissen von Apothekern zur Impfung</w:t>
      </w:r>
    </w:p>
    <w:p>
      <w:r>
        <w:rPr>
          <w:i/>
          <w:color w:val="666666"/>
          <w:sz w:val="18"/>
        </w:rPr>
        <w:t>Waszkiewicz M et al.  ·  Med Sci Monit  ·  05.08.2026  ·  PMID 42552681</w:t>
      </w:r>
    </w:p>
    <w:p>
      <w:r>
        <w:t>Pre-post-Studie in Polen evaluierte Wissenszuwachs bei Apothekern nach Fortbildung zur Influenza- und Pneumokokken-Impfung (Februar 2024–Juli 2025).</w:t>
      </w:r>
    </w:p>
    <w:p>
      <w:r>
        <w:rPr>
          <w:b/>
        </w:rPr>
        <w:t xml:space="preserve">Ergebnis: </w:t>
      </w:r>
      <w:r>
        <w:t>Unter 327 Absolventen stieg das Testscore signifikant um 4,7 Punkte (Mdiff = –4,67, 95% CI: –4,99 bis –4,34, d = 1,55, p &lt; 0,001). Das entspricht ca. 23 % der maximalen Testscore-Steigerung und wurde als großer Effekt beurteilt.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 hat Apothekern 2024 Impfkompetenz übertragen; strukturiertes Angebot seit kurzem auch in Deutschland möglich.</w:t>
      </w:r>
    </w:p>
    <w:p>
      <w:r>
        <w:rPr>
          <w:color w:val="5A7D3A"/>
          <w:sz w:val="18"/>
        </w:rPr>
        <w:t>https://pubmed.ncbi.nlm.nih.gov/42552681/</w:t>
      </w:r>
    </w:p>
    <w:p>
      <w:pPr>
        <w:pStyle w:val="Heading2"/>
      </w:pPr>
      <w:r>
        <w:t>Schulkrankenschwestern unterverimpfter Gemeinden: HPV-Impfung braucht Systemunterstützung</w:t>
      </w:r>
    </w:p>
    <w:p>
      <w:r>
        <w:rPr>
          <w:i/>
          <w:color w:val="666666"/>
          <w:sz w:val="18"/>
        </w:rPr>
        <w:t>Avermark H et al.  ·  Hum Vaccin Immunother  ·  29.07.2026  ·  PMID 42527395</w:t>
      </w:r>
    </w:p>
    <w:p>
      <w:r>
        <w:t>Qualitative Studie mit 21 Interviews von Schulkrankenschwestern in unterversorgten Stockholmer Stadtteilen zur HPV-Impfung von Jugendlichen (Juni–November 2024).</w:t>
      </w:r>
    </w:p>
    <w:p>
      <w:r>
        <w:rPr>
          <w:b/>
        </w:rPr>
        <w:t xml:space="preserve">Ergebnis: </w:t>
      </w:r>
      <w:r>
        <w:t>Drei Themen: (1) Schulkrankenschwestern tragen HPV-Impfung allein, ohne institutionelle Unterstützung; (2) Duale Verantwortung zwischen Einzelbetreuung und Public Health schafft Rollenkonflikte; (3) Schwierigkeit im Umgang mit Tabuisierung von HPV und Sexualität. Hohe Arbeitsbelastung und normative Vorstellungen zu Sex behindern Uptake.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ähnliches Schulsystem und Impfprogramm; zeigt Systemdefizite bei dezentraler HPV-Angebotsumsetzung.</w:t>
      </w:r>
    </w:p>
    <w:p>
      <w:r>
        <w:rPr>
          <w:color w:val="5A7D3A"/>
          <w:sz w:val="18"/>
        </w:rPr>
        <w:t>https://pubmed.ncbi.nlm.nih.gov/42527395/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Finnlands zentrales Impfsystem erreicht hohe Quoten, kämpft aber mit Eigenverantwortung und Chancengerechtigkeit</w:t>
      </w:r>
    </w:p>
    <w:p>
      <w:r>
        <w:rPr>
          <w:i/>
          <w:color w:val="666666"/>
          <w:sz w:val="18"/>
        </w:rPr>
        <w:t>Pattyn J et al.  ·  Hum Vaccin Immunother  ·  26.08.2026  ·  PMID 42647143</w:t>
      </w:r>
    </w:p>
    <w:p>
      <w:r>
        <w:t>Eine strukturierte Literaturanalyse mit Experteneingaben beschrieb Finnlands National Vaccination Program (NVP) für Erwachsene, seine Stärken und Hürden.</w:t>
      </w:r>
    </w:p>
    <w:p>
      <w:r>
        <w:rPr>
          <w:b/>
        </w:rPr>
        <w:t xml:space="preserve">Ergebnis: </w:t>
      </w:r>
      <w:r>
        <w:t>Finnlands zentralisiertes, kostenlos bereitgestelltes NVP mit Bevölkerungsregistern erlaubt präzise Monitoring von Abdeckung, Sicherheit und Wirkung. Herausforderungen: Impfung ist individuelle Verantwortung (Compliance-Problem), Kosten für nicht-NVP-Impfstoffe erzeugen Ungleichheit, Impfvertrauen leicht rückläufig. Die CUBE wurde gegründet, um Verhaltensbarrieren zu verstehen.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 mit Impfregister; zeigt Möglichkeiten und Limits zentralisierter Systeme.</w:t>
      </w:r>
    </w:p>
    <w:p>
      <w:r>
        <w:rPr>
          <w:color w:val="5A7D3A"/>
          <w:sz w:val="18"/>
        </w:rPr>
        <w:t>https://pubmed.ncbi.nlm.nih.gov/42647143/</w:t>
      </w:r>
    </w:p>
    <w:p>
      <w:pPr>
        <w:pStyle w:val="Heading2"/>
      </w:pPr>
      <w:r>
        <w:t>HPV-Wissen und Vertrauen in Gesundheitsbehörden prägen Impfbereitschaft in Rumänien</w:t>
      </w:r>
    </w:p>
    <w:p>
      <w:r>
        <w:rPr>
          <w:i/>
          <w:color w:val="666666"/>
          <w:sz w:val="18"/>
        </w:rPr>
        <w:t>Nati ID et al.  ·  Med Sci (Basel)  ·  25.07.2026  ·  PMID 42646566</w:t>
      </w:r>
    </w:p>
    <w:p>
      <w:r>
        <w:t>Eine rumänische Querschnittsumfrage untersuchte kognitive und institutionelle Faktoren für HPV-Impfbereitschaft bei erwachsenen Frauen.</w:t>
      </w:r>
    </w:p>
    <w:p>
      <w:r>
        <w:rPr>
          <w:b/>
        </w:rPr>
        <w:t xml:space="preserve">Ergebnis: </w:t>
      </w:r>
      <w:r>
        <w:t>Unter 368 Befragten lag die Impfquote nur bei 28,6 %. Hohes HPV-Wissen korrelierte mit Impfbereitschaft (p=0,001), ebenso Vertrauen in Behörden. Digitale Fehlinformation zeigte schwachen negativen Zusammenhang mit Wissen, beeinflusste aber Impfbereitschaft nicht direkt. Die Autoren empfehlen Übergang von optionalem zu aktivem Angebot (Opt-out-Modell).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Süd-/Osteuropa mit ähnlicher administrativer Struktur; zeigt Wirkung von Vertrauen und Struktur.</w:t>
      </w:r>
    </w:p>
    <w:p>
      <w:r>
        <w:rPr>
          <w:color w:val="5A7D3A"/>
          <w:sz w:val="18"/>
        </w:rPr>
        <w:t>https://pubmed.ncbi.nlm.nih.gov/42646566/</w:t>
      </w:r>
    </w:p>
    <w:p>
      <w:pPr>
        <w:pStyle w:val="Heading2"/>
      </w:pPr>
      <w:r>
        <w:t>Lesbarer Weblink in digitalen Impfeinladungen erhöht Vertrauen und Buchungsbereitschaft</w:t>
      </w:r>
    </w:p>
    <w:p>
      <w:r>
        <w:rPr>
          <w:i/>
          <w:color w:val="666666"/>
          <w:sz w:val="18"/>
        </w:rPr>
        <w:t>Oakley CM et al.  ·  J Med Internet Res  ·  25.08.2026  ·  PMID 42640841</w:t>
      </w:r>
    </w:p>
    <w:p>
      <w:r>
        <w:t>Drei randomisierte Onlinestudien mit britischen Teilnehmern testeten, wie das Design von Web-Links in digitalen COVID-19-Impfeinladungen Vertrauen und Buchungsbereitschaft beeinflusst.</w:t>
      </w:r>
    </w:p>
    <w:p>
      <w:r>
        <w:rPr>
          <w:b/>
        </w:rPr>
        <w:t xml:space="preserve">Ergebnis: </w:t>
      </w:r>
      <w:r>
        <w:t>Im Kontrollarm (komplizierter Link) waren 63 % unsicher oder unwillig, ihn zu nutzen. Ein klarer Link (‚vaccine-booking.nhs.uk') verbesserte das Vertrauen (β=0,26 in Exp.1, β=0,24 in Exp.3), ebenso ein Text-eingebetteter Link (β=0,18 in Exp.2, β=0,17 in Exp.3). Ein verkürzter Link brachte keinen Gewinn. Einfache, erkennbare Links erhöhten Buchungsintention über verbessertes Vertrauen und Host-Erkennung.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Großbritannien; einfache Designprinzipien auch für deutsches Portal- und E-Mail-System anwendbar.</w:t>
      </w:r>
    </w:p>
    <w:p>
      <w:r>
        <w:rPr>
          <w:color w:val="5A7D3A"/>
          <w:sz w:val="18"/>
        </w:rPr>
        <w:t>https://pubmed.ncbi.nlm.nih.gov/42640841/</w:t>
      </w:r>
    </w:p>
    <w:p>
      <w:pPr>
        <w:pStyle w:val="Heading2"/>
      </w:pPr>
      <w:r>
        <w:t>Schwere Nebenwirkungen nach COVID-19-Auffrischung vermindern die Bereitschaft zur erneuten Impfung</w:t>
      </w:r>
    </w:p>
    <w:p>
      <w:r>
        <w:rPr>
          <w:i/>
          <w:color w:val="666666"/>
          <w:sz w:val="18"/>
        </w:rPr>
        <w:t>Huiberts AJ et al.  ·  Vaccine  ·  17.09.2026  ·  PMID 42603508</w:t>
      </w:r>
    </w:p>
    <w:p>
      <w:r>
        <w:t>Eine niederländische Kohortenstudie untersuchte, ob das Auftreten und die Schwere von Nebenwirkungen nach COVID-19-Auffrischimpfungen die Bereitschaft zur Impfung im Folgejahr beeinflussen.</w:t>
      </w:r>
    </w:p>
    <w:p>
      <w:r>
        <w:rPr>
          <w:b/>
        </w:rPr>
        <w:t xml:space="preserve">Ergebnis: </w:t>
      </w:r>
      <w:r>
        <w:t>Von 11.010 Geimpften (2022) waren 73,7 % im nächsten Jahr erneut geimpft. Systémische Nebenwirkungen 2022 waren mit niedrigerem Risiko für Wiederimpfung 2023 verbunden (OR 0,84, 95%-KI 0,76–0,93), besonders bei mittleren (OR 0,79) oder schweren Ereignissen (OR 0,45) sowie Dauer &gt;5 Tagen (OR 0,72). Das Muster wiederholte sich für 2024. Dies zeigt, dass direkte Erfahrungen mit Nebenwirkungen künftige Impfbereitschaft senken.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mit Impfregister; deutsche Routinedaten vergleichbar.</w:t>
      </w:r>
    </w:p>
    <w:p>
      <w:r>
        <w:rPr>
          <w:color w:val="5A7D3A"/>
          <w:sz w:val="18"/>
        </w:rPr>
        <w:t>https://pubmed.ncbi.nlm.nih.gov/42603508/</w:t>
      </w:r>
    </w:p>
    <w:p>
      <w:pPr>
        <w:pStyle w:val="Heading2"/>
      </w:pPr>
      <w:r>
        <w:t>Messaging zu ‚gesundem Altern' erhöht Impfbereitschaft bei älteren Erwachsenen in Frankreich</w:t>
      </w:r>
    </w:p>
    <w:p>
      <w:r>
        <w:rPr>
          <w:i/>
          <w:color w:val="666666"/>
          <w:sz w:val="18"/>
        </w:rPr>
        <w:t>Addario A et al.  ·  Vaccine  ·  17.09.2026  ·  PMID 42594637</w:t>
      </w:r>
    </w:p>
    <w:p>
      <w:r>
        <w:t>Eine französische Querschnittsumfrage mit Social-Marketing-Ansatz testete, welche Botschaften und Zugangsmerkmale die Impfintention bei Älteren (≥60 Jahren) verbessern.</w:t>
      </w:r>
    </w:p>
    <w:p>
      <w:r>
        <w:rPr>
          <w:b/>
        </w:rPr>
        <w:t xml:space="preserve">Ergebnis: </w:t>
      </w:r>
      <w:r>
        <w:t>Von 2.416 Befragten hatten 15,6 % hohe, 81,7 % mittlere und 2,8 % niedrige Impfbereitschaft. Zustimmung, dass Impfung zu gesundem Altern beiträgt, stieg von 3 % (niedrig) auf 56 % (mittel) und 78 % (hoch). Botschaften zu Schlag- und Herzinfarktrisiko zeigten höchste Intention (69–67 %). Gültigkeitsvoucher wurden positiv aufgenommen (57–81 % würden impfen lassen). Ärzte waren vertrauteste Informationsquelle (93–95 %).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mit ähnlichem Versicherungssystem; Fokus auf Rahmung und Zugang in DACH übertragbar.</w:t>
      </w:r>
    </w:p>
    <w:p>
      <w:r>
        <w:rPr>
          <w:color w:val="5A7D3A"/>
          <w:sz w:val="18"/>
        </w:rPr>
        <w:t>https://pubmed.ncbi.nlm.nih.gov/42594637/</w:t>
      </w:r>
    </w:p>
    <w:p>
      <w:pPr>
        <w:pStyle w:val="Heading2"/>
      </w:pPr>
      <w:r>
        <w:t>Omicron-JN.1-Impfstoff bot in den Niederlanden nur begrenzte Zusatzschutzwirkung</w:t>
      </w:r>
    </w:p>
    <w:p>
      <w:r>
        <w:rPr>
          <w:i/>
          <w:color w:val="666666"/>
          <w:sz w:val="18"/>
        </w:rPr>
        <w:t>Huiberts AJ et al.  ·  Vaccine  ·  17.09.2026  ·  PMID 42585808</w:t>
      </w:r>
    </w:p>
    <w:p>
      <w:r>
        <w:t>Eine prospektive holländische Kohortenstudie quantifizierte die Wirksamkeit der JN.1-Varianten-angepassten COVID-19-Impfung gegen Infektionen von September 2024 bis Februar 2025.</w:t>
      </w:r>
    </w:p>
    <w:p>
      <w:r>
        <w:rPr>
          <w:b/>
        </w:rPr>
        <w:t xml:space="preserve">Ergebnis: </w:t>
      </w:r>
      <w:r>
        <w:t>Von 4.490 Teilnehmern &lt;60 Jahren waren 29 % geimpft, von 19.349 Älteren 74 %. Bei 2.142 Infektionen betrug die Impfwirksamkeit 16 % (&lt;60 Jahre, 95%-KI –11–36) und 13 % (≥60 Jahre, 95%-KI 2–23). Gegen KP.3.1.1 und XEC unterschied sich der Schutz nicht signifikant. Die begrenzte Schutzwirkung in einer Phase niedriger Inzidenz deutet auf waning immunity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mit vollständiger Impfdokumentation und genetischer Variantenbestimmung.</w:t>
      </w:r>
    </w:p>
    <w:p>
      <w:r>
        <w:rPr>
          <w:color w:val="5A7D3A"/>
          <w:sz w:val="18"/>
        </w:rPr>
        <w:t>https://pubmed.ncbi.nlm.nih.gov/42585808/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Influenza-Impfskepsis bei georgischen Gesundheitspersonal senkt Impfquote über drei Jahre</w:t>
      </w:r>
    </w:p>
    <w:p>
      <w:r>
        <w:rPr>
          <w:i/>
          <w:color w:val="666666"/>
          <w:sz w:val="18"/>
        </w:rPr>
        <w:t>Artemchuk O et al.  ·  PLoS One  ·  25.08.2026  ·  PMID 42640914</w:t>
      </w:r>
    </w:p>
    <w:p>
      <w:r>
        <w:t>Prospektive Kohortenstudie in Georgien mit 403 Krankenhausmitarbeitenden über drei Influenza-Saisons (2021–2024): Welche Faktoren beeinflussen die Annahme der jährlichen Influenza-Impfung?</w:t>
      </w:r>
    </w:p>
    <w:p>
      <w:r>
        <w:rPr>
          <w:b/>
        </w:rPr>
        <w:t xml:space="preserve">Ergebnis: </w:t>
      </w:r>
      <w:r>
        <w:t>72 % erhielten mindestens einmal die Impfung, 28 % nie. Mangelndes Vertrauen in Sicherheit (aOR 0,27) und Wirksamkeit (aOR 0,36) sowie das Alter 40–49 Jahre (aOR 2,67) waren die Hauptfaktoren. Eine Klinik hatte deutlich niedrigere Quoten (aOR 0,06).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Kaukasus-Region mit WHO-Partner, aber begrenzte Übertragbarkeit auf deutsches System ohne Impfregister.</w:t>
      </w:r>
    </w:p>
    <w:p>
      <w:r>
        <w:rPr>
          <w:color w:val="5A7D3A"/>
          <w:sz w:val="18"/>
        </w:rPr>
        <w:t>https://pubmed.ncbi.nlm.nih.gov/42640914/</w:t>
      </w:r>
    </w:p>
    <w:p>
      <w:pPr>
        <w:pStyle w:val="Heading2"/>
      </w:pPr>
      <w:r>
        <w:t>Impfquote bei 24-Monate-Alten in Italien von 92,75 % auf 94,57 % durch Reorganisation der Dienste</w:t>
      </w:r>
    </w:p>
    <w:p>
      <w:r>
        <w:rPr>
          <w:i/>
          <w:color w:val="666666"/>
          <w:sz w:val="18"/>
        </w:rPr>
        <w:t>Scala A et al.  ·  Front Public Health  ·  10.08.2026  ·  PMID 42638716</w:t>
      </w:r>
    </w:p>
    <w:p>
      <w:r>
        <w:t>Qualitäts-Verbesserungsprojekt in ASL Napoli 3 Sud 2022–2024 mit M.A.S.T.E.R.-Framework: Wie ließ sich die gefallene Abdeckung von Primärserien wieder heben?</w:t>
      </w:r>
    </w:p>
    <w:p>
      <w:r>
        <w:rPr>
          <w:b/>
        </w:rPr>
        <w:t xml:space="preserve">Ergebnis: </w:t>
      </w:r>
      <w:r>
        <w:t>Quote 2023: 92,75 % (Rückgang von 94,57 % 2022). Nach Interventionen (standardisierte Erinnerungen, digitale Kalender, Schulung, Logistik-Überprüfung): 2024 → 94,57 % (+1,82 Pp.). Erinnerungen stiegen von 1.248 auf 2.136, vollendete Nachholtermine von 286 auf 612. Pädiater-Kooperation von 54,2 % auf 87,3 %.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südeuropäisches Sozialversicherungssystem, Dokumentation ähnlich Deutschland-Anforderungen.</w:t>
      </w:r>
    </w:p>
    <w:p>
      <w:r>
        <w:rPr>
          <w:color w:val="5A7D3A"/>
          <w:sz w:val="18"/>
        </w:rPr>
        <w:t>https://pubmed.ncbi.nlm.nih.gov/42638716/</w:t>
      </w:r>
    </w:p>
    <w:p>
      <w:pPr>
        <w:pStyle w:val="Heading2"/>
      </w:pPr>
      <w:r>
        <w:t>Schwangere in Gambia: Lücken beim COVID-19-Impfstoffzugang trotz neuer Leitlinien</w:t>
      </w:r>
    </w:p>
    <w:p>
      <w:r>
        <w:rPr>
          <w:i/>
          <w:color w:val="666666"/>
          <w:sz w:val="18"/>
        </w:rPr>
        <w:t>Nkereuwem O et al.  ·  BMJ Open  ·  20.08.2026  ·  PMID 42624601</w:t>
      </w:r>
    </w:p>
    <w:p>
      <w:r>
        <w:t>Qualitative Studie in Gambia mit 15 Fachpersonen und 29 Workshop-Teilnehmenden: Welche Barrieren verhindern, dass Schwangere COVID-19-Impfstoffe erhalten?</w:t>
      </w:r>
    </w:p>
    <w:p>
      <w:r>
        <w:rPr>
          <w:b/>
        </w:rPr>
        <w:t xml:space="preserve">Ergebnis: </w:t>
      </w:r>
      <w:r>
        <w:t>Evolvierende Sicherheitsleitlinien minderten Beratungsvertrauen und verstärkten Vaccine Hesitancy. Fragmentierte Dienste (nicht in Schwangerenvorsorge integriert), schwache Dokumentation von Nebenwirkungen und Misinformation waren Kernprobleme. Strategien: frühe Schulung, Koordination über Berufsgruppen, gestärkte Logistik und Sicherheitsmeldung.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Subsahara-Afrika, aber Befunde zu systemischer Fragmentierung relevant für Integrationsfragen.</w:t>
      </w:r>
    </w:p>
    <w:p>
      <w:r>
        <w:rPr>
          <w:color w:val="5A7D3A"/>
          <w:sz w:val="18"/>
        </w:rPr>
        <w:t>https://pubmed.ncbi.nlm.nih.gov/42624601/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Hochdosis-Grippeimpfstoff senkte Krankenhauseinweisungen bei Altenheimbewohnern um 31 Prozent</w:t>
      </w:r>
    </w:p>
    <w:p>
      <w:r>
        <w:rPr>
          <w:i/>
          <w:color w:val="666666"/>
          <w:sz w:val="18"/>
        </w:rPr>
        <w:t>Bricout H et al.  ·  Age Ageing  ·  03.08.2026  ·  PMID 42632918</w:t>
      </w:r>
    </w:p>
    <w:p>
      <w:r>
        <w:t>Französische Kohortenstudie verglich Wirksamkeit von Hochdosis- versus Standarddosis-Grippeimpfstoff gegen grippebedingte Krankenhauseinweisungen bei Bewohnern von Altenpflegeeinrichtungen (2022–2023).</w:t>
      </w:r>
    </w:p>
    <w:p>
      <w:r>
        <w:rPr>
          <w:b/>
        </w:rPr>
        <w:t xml:space="preserve">Ergebnis: </w:t>
      </w:r>
      <w:r>
        <w:t>Hochdosis-Impfstoff reduzierte grippebedingte Krankenhauseinweisungen um 30,8 % (95 % KI: 11,8–45,7 %; p = 0,0029), verglichen mit Standarddosis. Bei Pneumonie oder kombinierten Ergebnissen zeigte sich kein signifikanter Unterschied. Die Studie stützt bevorzugte Verwendung des Hochdosis-Impfstoffs in dieser Hochrisikogruppe.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mit vergleichbarem Sozialversicherungssystem und Langzeitpflege-Dokumentation wie Deutschland.</w:t>
      </w:r>
    </w:p>
    <w:p>
      <w:r>
        <w:rPr>
          <w:color w:val="5A7D3A"/>
          <w:sz w:val="18"/>
        </w:rPr>
        <w:t>https://pubmed.ncbi.nlm.nih.gov/42632918/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HPV-Impfung senkt Häufigkeit von Larynx- und Bindehautpapillomen in Dänemark</w:t>
      </w:r>
    </w:p>
    <w:p>
      <w:r>
        <w:rPr>
          <w:i/>
          <w:color w:val="666666"/>
          <w:sz w:val="18"/>
        </w:rPr>
        <w:t>Aakilde M et al.  ·  APMIS  ·  Aug. 2026  ·  PMID 42619272</w:t>
      </w:r>
    </w:p>
    <w:p>
      <w:r>
        <w:t>Register-Studie: 33 juvenile Larynx-, 134 Bindehautpapillom-Patienten 2005–2024 mit HPV-Subtypisierung und Impfstatus-Abfrage.</w:t>
      </w:r>
    </w:p>
    <w:p>
      <w:r>
        <w:rPr>
          <w:b/>
        </w:rPr>
        <w:t xml:space="preserve">Ergebnis: </w:t>
      </w:r>
      <w:r>
        <w:t>Larynxpapillom-Inzidenz sank von 0,190 pro 100.000 (2005–2013) auf 0,107 (2014–2024), nicht signifikant (p=0,145); keine Fälle bei geimpften Müttern. Bindehautpapillom-Inzidenz sank signifikant um 5,3 % pro Jahr (p=0,002). HPV-6/-11 in 74,1 % nachgewiesen. Studie zeigt Schutzeffekt des Impfprogramms auf Bindehautpapillome, juvenile Larynxpapillome bleiben selten und nur bei ungeimpften Müttern.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nationales Register, vergleichbare nordeuropäische Impfpraxis</w:t>
      </w:r>
    </w:p>
    <w:p>
      <w:r>
        <w:rPr>
          <w:color w:val="5A7D3A"/>
          <w:sz w:val="18"/>
        </w:rPr>
        <w:t>https://pubmed.ncbi.nlm.nih.gov/42619272/</w:t>
      </w:r>
    </w:p>
    <w:p>
      <w:pPr>
        <w:pStyle w:val="Heading2"/>
      </w:pPr>
      <w:r>
        <w:t>Hepatitis-B-Impfquoten bei trans und nicht-binären Menschen in Deutschland: Wer bleibt ungeimpft?</w:t>
      </w:r>
    </w:p>
    <w:p>
      <w:r>
        <w:rPr>
          <w:i/>
          <w:color w:val="666666"/>
          <w:sz w:val="18"/>
        </w:rPr>
        <w:t>Biallas R et al.  ·  BMC Public Health  ·  11.08.2026  ·  PMID 42576212</w:t>
      </w:r>
    </w:p>
    <w:p>
      <w:r>
        <w:t>Online-Survey von 2.358 trans und nicht-binären Personen zu Hepatitis-B-Diagnosen und Impfstatus, RKI-Studie.</w:t>
      </w:r>
    </w:p>
    <w:p>
      <w:r>
        <w:rPr>
          <w:b/>
        </w:rPr>
        <w:t xml:space="preserve">Ergebnis: </w:t>
      </w:r>
      <w:r>
        <w:t>HBV-Prävalenz 0,6 %, Impfquote 56,3 %. Quote höher bei Personen auf dem männlichen Spektrum (PR 1,29) als weiblich/nicht-binär; höher mit Hochschulbildung (PR 1,44) und in Großstädten (PR 1,22). 550 (21,7 %) waren impfempfohlen; von 213 mit negativem Impfstatus waren 65 % unter 30 und hätten Routine-Impfung erhalten sollen. Wissenslücken zu Hepatitis als Hauptprädiktor für niedrige Quote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RKI-Studie, deutsche Hochrisikopopulation; Ungleichheit nach Bildung, Geschlechtsidentität und Urbanisierung</w:t>
      </w:r>
    </w:p>
    <w:p>
      <w:r>
        <w:rPr>
          <w:color w:val="5A7D3A"/>
          <w:sz w:val="18"/>
        </w:rPr>
        <w:t>https://pubmed.ncbi.nlm.nih.gov/42576212/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MenACWY-Impfung und Meningokokken-Carriage bei Studierenden: Wirksamkeitsevidenz aus Carriage-Monitoring</w:t>
      </w:r>
    </w:p>
    <w:p>
      <w:r>
        <w:rPr>
          <w:i/>
          <w:color w:val="666666"/>
          <w:sz w:val="18"/>
        </w:rPr>
        <w:t>Harvey-Cowlishaw T et al.  ·  Front Public Health  ·  05.08.2026  ·  PMID 42621093</w:t>
      </w:r>
    </w:p>
    <w:p>
      <w:r>
        <w:t>Querschnittstudie (September + November 2024) an 400 Studierenden einer UK-Universität mit Keimkultur/PCR und Vollgenomsequenzierung von Meningokokken-Carriern.</w:t>
      </w:r>
    </w:p>
    <w:p>
      <w:r>
        <w:rPr>
          <w:b/>
        </w:rPr>
        <w:t xml:space="preserve">Ergebnis: </w:t>
      </w:r>
      <w:r>
        <w:t>Carriage-Rate Sepember 12,5 %, November 25,3 % (p&lt;0,05). Genogruppe C: null Isolate (100 % Reduktion durch MenACWY-Vakzinierung). Genogruppe Y: null verkappselte Isolate in dieser Kohorte, konsistent mit Impfeffektivität. Genogruppe B: 34,3 % (multipler Clonal Complex, teils hyperinvasiv). MenACWY schützt Studierende effektiv vor W/Y-Carriage; Genogruppe B bleibt 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Kariologie-Surveillance, vergleichbare adoleszente Impfprogramme</w:t>
      </w:r>
    </w:p>
    <w:p>
      <w:r>
        <w:rPr>
          <w:color w:val="5A7D3A"/>
          <w:sz w:val="18"/>
        </w:rPr>
        <w:t>https://pubmed.ncbi.nlm.nih.gov/42621093/</w:t>
      </w:r>
    </w:p>
    <w:p>
      <w:pPr>
        <w:pStyle w:val="Heading2"/>
      </w:pPr>
      <w:r>
        <w:t>Vorbuchte Impftermine für COVID-19: Burden-Vergleich und Wirkung auf Uptake-Intention</w:t>
      </w:r>
    </w:p>
    <w:p>
      <w:r>
        <w:rPr>
          <w:i/>
          <w:color w:val="666666"/>
          <w:sz w:val="18"/>
        </w:rPr>
        <w:t>Sanders JG et al.  ·  Vaccine  ·  30.08.2026  ·  PMID 42546637</w:t>
      </w:r>
    </w:p>
    <w:p>
      <w:r>
        <w:t>Formative Evaluationsstudie (Niederlande) in zwei Phasen – qualitativ (15 Interviews) und experimentell (n=1.886) – zur Wirkung von Vorbuchung vs. Selbstbuchung auf Impfintention.</w:t>
      </w:r>
    </w:p>
    <w:p>
      <w:r>
        <w:rPr>
          <w:b/>
        </w:rPr>
        <w:t xml:space="preserve">Ergebnis: </w:t>
      </w:r>
      <w:r>
        <w:t>Phase 1: Vorbuchung wurde als fürsorglich und auch als bevormundend wahrgenommen. Phase 2: Selbstbuchung wurde als weniger belastend wahrgenommen (β=−0,23, p&lt;0,05), führte aber nicht zu höherer Impfintention (aOR=1,11). Auch bei zögerlichen Personen kein Unterschied (aOR=0,88). Vorbuchung verändert COVID-19-Intention nicht – konservative Empfehlung: Selbstbuchung für bereits geimpfte Ältere.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(RIVM), vergleichbares Versicherungssystem und Impfinfrastruktur</w:t>
      </w:r>
    </w:p>
    <w:p>
      <w:r>
        <w:rPr>
          <w:color w:val="5A7D3A"/>
          <w:sz w:val="18"/>
        </w:rPr>
        <w:t>https://pubmed.ncbi.nlm.nih.gov/42546637/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Impfquoten in der Schwangerschaft in Deutschland 2004–2022: Was bleibt ungenutzt?</w:t>
      </w:r>
    </w:p>
    <w:p>
      <w:r>
        <w:rPr>
          <w:i/>
          <w:color w:val="666666"/>
          <w:sz w:val="18"/>
        </w:rPr>
        <w:t>Mulanje L et al.  ·  Sci Rep  ·  18.08.2026  ·  PMID 42613346</w:t>
      </w:r>
    </w:p>
    <w:p>
      <w:r>
        <w:t>Eine Analyse von über 2,8 Mio. Schwangerschaften in deutschen Krankenkassendaten zeigte, wie sich Impfquoten in der Schwangerschaft entwickelten.</w:t>
      </w:r>
    </w:p>
    <w:p>
      <w:r>
        <w:rPr>
          <w:b/>
        </w:rPr>
        <w:t xml:space="preserve">Ergebnis: </w:t>
      </w:r>
      <w:r>
        <w:t>Influenza-Impfquote bei Schwangeren stieg von 2 % (2004–2009) auf 19 % (2020–2022), Pertussis von 3 % (2015–2019) auf 37 % (2020–2022). Weniger als 50 % der empfohlenen Schwangerschaftsimpfungen wurden durchgeführt; Gründe bleiben unklar. Etwa 0,3 % erhielten kontraindizierte Lebendimpfstoffe.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 mit vollständiger Erfassung, direkt übertragbar auf deutsches Versorgungssystem.</w:t>
      </w:r>
    </w:p>
    <w:p>
      <w:r>
        <w:rPr>
          <w:color w:val="5A7D3A"/>
          <w:sz w:val="18"/>
        </w:rPr>
        <w:t>https://pubmed.ncbi.nlm.nih.gov/42613346/</w:t>
      </w:r>
    </w:p>
    <w:p>
      <w:pPr>
        <w:pStyle w:val="Heading2"/>
      </w:pPr>
      <w:r>
        <w:t>HPV-Impfung für Adoleszente: Verhaltenswissenschaftliche Entwicklung einer Intervention (15–17 Jahre)</w:t>
      </w:r>
    </w:p>
    <w:p>
      <w:r>
        <w:rPr>
          <w:i/>
          <w:color w:val="666666"/>
          <w:sz w:val="18"/>
        </w:rPr>
        <w:t>Flood T et al.  ·  PLoS One  ·  14.08.2026  ·  PMID 42599892</w:t>
      </w:r>
    </w:p>
    <w:p>
      <w:r>
        <w:t>Qualitative Studie mit fokussierten Interviews (Impfschwestern n=26, Schüler n=34, Lehrer/Schulnursen n=18) zur Entwicklung eines theoriegestützten HPV-Interventionsangebots.</w:t>
      </w:r>
    </w:p>
    <w:p>
      <w:r>
        <w:rPr>
          <w:b/>
        </w:rPr>
        <w:t xml:space="preserve">Ergebnis: </w:t>
      </w:r>
      <w:r>
        <w:t>Systematische Übersicht fand Mangel an Interventionen für diese Altersgruppe. Identifiziert wurden 12 Barrieren für drei Zielverhalten (Schülerentscheidung, Professionalisierung, öffentliche Akzeptanz). Entwickelte Intervention: schulgestützte HPV-Bildung mit Impfangebot, öffentliche Medienkampagne; Erfolg hängt von Unterstützung durch Behörden und Lehrplanintegration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Nordirland, ähnliche schulbasierte Impfstrukturen wie Deutschland, Barrier-Identifizierung übertragbar.</w:t>
      </w:r>
    </w:p>
    <w:p>
      <w:r>
        <w:rPr>
          <w:color w:val="5A7D3A"/>
          <w:sz w:val="18"/>
        </w:rPr>
        <w:t>https://pubmed.ncbi.nlm.nih.gov/42599892/</w:t>
      </w:r>
    </w:p>
    <w:p>
      <w:pPr>
        <w:pStyle w:val="Heading2"/>
      </w:pPr>
      <w:r>
        <w:t>COVID-19-Sterblichkeit bei Menschen mit schweren psychischen Erkrankungen: Übersterblichkeit trotz Impfung</w:t>
      </w:r>
    </w:p>
    <w:p>
      <w:r>
        <w:rPr>
          <w:i/>
          <w:color w:val="666666"/>
          <w:sz w:val="18"/>
        </w:rPr>
        <w:t>Chilman N et al.  ·  Lancet Psychiatry  ·  Sept. 2026  ·  PMID 42586081</w:t>
      </w:r>
    </w:p>
    <w:p>
      <w:r>
        <w:t>Gesamtbevölkerungsstudie in England (n=13.463.945 COVID-19-Fälle, davon 1,19 % mit schwerer psychischer Erkrankung) auf Mortalität über drei Pandemiephasen mit unterschiedlichem Impfzugang.</w:t>
      </w:r>
    </w:p>
    <w:p>
      <w:r>
        <w:rPr>
          <w:b/>
        </w:rPr>
        <w:t xml:space="preserve">Ergebnis: </w:t>
      </w:r>
      <w:r>
        <w:t>Übersterblichkeit bei schwerer psychischer Erkrankung: aHR 1,56 (95%-KI 1,53–1,59). In Phase 1 (vor Impfung): aHR 1,27; Phase 2 (Impfstart): aHR 1,56; Phase 3 (nach Impfung): aHR 1,55. Impfquoten initial höher (73,2 % vs. 67,4 %), am Ende aber niedriger (79,4 % vs. 87,2 %). Impfung minderte Risiko nur partiell (aHR 1,25, 95%-KI 1,17–1,34).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England-Gesamtbevölkerung, nationales Gesundheitssystem wie Deutschland, Ungleichheitsfrage zentral.</w:t>
      </w:r>
    </w:p>
    <w:p>
      <w:r>
        <w:rPr>
          <w:color w:val="5A7D3A"/>
          <w:sz w:val="18"/>
        </w:rPr>
        <w:t>https://pubmed.ncbi.nlm.nih.gov/42586081/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Psychisches Wohlbefinden und COVID-19-Impfquote: 2,68-fach höherer Impfanteil bei hohem CASP-Wohlbefind</w:t>
      </w:r>
    </w:p>
    <w:p>
      <w:r>
        <w:rPr>
          <w:i/>
          <w:color w:val="666666"/>
          <w:sz w:val="18"/>
        </w:rPr>
        <w:t>Gao Y et al.  ·  Hum Vaccin Immunother  ·  18.08.2026  ·  PMID 42610257</w:t>
      </w:r>
    </w:p>
    <w:p>
      <w:r>
        <w:t>Prospektive Analyse von 29.597 europäischen Erwachsenen ≥50 Jahren (SHARE-Studie, 27 Länder + Israel) zur Assoziation zwischen psychischem Wohlbefinden (CASP-12-Skala) und COVID-19-Impfung, Infektion und Long COVID.</w:t>
      </w:r>
    </w:p>
    <w:p>
      <w:r>
        <w:rPr>
          <w:b/>
        </w:rPr>
        <w:t xml:space="preserve">Ergebnis: </w:t>
      </w:r>
      <w:r>
        <w:t>Personen mit höchster CASP-12-Punktzahl vs. niedrigster: OR für COVID-19-Impfung 2,68 (95%-KI 2,44–2,96). Reduktion von Long COVID um 23% (OR 0,77, 95%-KI 0,64–0,93). Kein signifikanter Effekt auf Infektionsrisiko (OR 0,87, 95%-KI 0,74–1,02). Höheres psychisches Wohlbefinden mit verbessertem Impfstatus und reduziertem Long-COVID-Risiko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27 europäische Länder, generalisierbar auf deutschsprachigen Raum</w:t>
      </w:r>
    </w:p>
    <w:p>
      <w:r>
        <w:rPr>
          <w:color w:val="5A7D3A"/>
          <w:sz w:val="18"/>
        </w:rPr>
        <w:t>https://pubmed.ncbi.nlm.nih.gov/42610257/</w:t>
      </w:r>
    </w:p>
    <w:p>
      <w:pPr>
        <w:pStyle w:val="Heading2"/>
      </w:pPr>
      <w:r>
        <w:t>Pädiater-Wissenlücken zur RSV-Immunisierung: 55,9% mit durchschnittlichem bis niedrigem Nirsevimab-Wissen</w:t>
      </w:r>
    </w:p>
    <w:p>
      <w:r>
        <w:rPr>
          <w:i/>
          <w:color w:val="666666"/>
          <w:sz w:val="18"/>
        </w:rPr>
        <w:t>Di Chiara C et al.  ·  PLoS One  ·  17.08.2026  ·  PMID 42607062</w:t>
      </w:r>
    </w:p>
    <w:p>
      <w:r>
        <w:t>Befragung von 578 Pädiatern (Rücklaufquote 19,3%) in Spanien, Italien und Zypern/Griechenland zu Wissen, Einstellungen und Barrieren bezüglich neuer RSV-Impfstrategen.</w:t>
      </w:r>
    </w:p>
    <w:p>
      <w:r>
        <w:rPr>
          <w:b/>
        </w:rPr>
        <w:t xml:space="preserve">Ergebnis: </w:t>
      </w:r>
      <w:r>
        <w:t>50% Spanien, 40% Italien, 10% Zypern/Griechenland. Nur 245 Befragte (55,9%) berichteten durchschnittliches bis niedriges Nirsevimab-Wissen, 375 (86,0%) zeigten gleiches für Mutterimpfstoff (p=0,002). Trotz Wissenslücken: 311 (85,9%) bereit, Nirsevimab zu verabreichen, 319 (92,2%) unterstützten es für alle Neugeborenen. Barrieren (20,0% genannt): Unbekannt und logistische Herausforderungen. 165 (47,4%) bevorzugten die Mutterimpfung gegenüber Nirsevimab.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aber spanische Erfahrung mit Nirsevimab bereits verfügbar</w:t>
      </w:r>
    </w:p>
    <w:p>
      <w:r>
        <w:rPr>
          <w:color w:val="5A7D3A"/>
          <w:sz w:val="18"/>
        </w:rPr>
        <w:t>https://pubmed.ncbi.nlm.nih.gov/42607062/</w:t>
      </w:r>
    </w:p>
    <w:p>
      <w:pPr>
        <w:pStyle w:val="Heading2"/>
      </w:pPr>
      <w:r>
        <w:t>HPV-Impfung und Schwangerschaftsergebnisse: Registerstudie zeigt keine erhöhten Fehlgeburtsrisiken</w:t>
      </w:r>
    </w:p>
    <w:p>
      <w:r>
        <w:rPr>
          <w:i/>
          <w:color w:val="666666"/>
          <w:sz w:val="18"/>
        </w:rPr>
        <w:t>Koivisto T et al.  ·  Eur J Public Health  ·  04.08.2026  ·  PMID 42586610</w:t>
      </w:r>
    </w:p>
    <w:p>
      <w:r>
        <w:t>Register-Follow-up von 20.426 HPV-geimpften und 19.473 ungeimpften Frauen (Finland, Geburtskohorte 1990-1995) über 11 Jahre zu frühen Schwangerschaftskomplikationen.</w:t>
      </w:r>
    </w:p>
    <w:p>
      <w:r>
        <w:rPr>
          <w:b/>
        </w:rPr>
        <w:t xml:space="preserve">Ergebnis: </w:t>
      </w:r>
      <w:r>
        <w:t>Fehlgeburtsquote in der geimpften Gruppe 1,6% versus 5,3% in der ungeimpften Kontrollgruppe (p&lt;0,0001). Keine zeitliche Assoziation zwischen Impfung und Fehlgeburten. Eileiterschwangerschaften waren selten und vergleichbar (0,6–1,0%). Bei Frauen mit Vorgeschichte von Komplikationen hatten 55,6% der Geimpften mindestens eine Lebendgeburt versus 70,3% der Ungeimpften. Die Impfung war nicht mit erhöhtem Fehlgeburts- oder anderem Schwangerschaftsrisiko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Register mit hoher Datenqualität</w:t>
      </w:r>
    </w:p>
    <w:p>
      <w:r>
        <w:rPr>
          <w:color w:val="5A7D3A"/>
          <w:sz w:val="18"/>
        </w:rPr>
        <w:t>https://pubmed.ncbi.nlm.nih.gov/42586610/</w:t>
      </w:r>
    </w:p>
    <w:p>
      <w:pPr>
        <w:pStyle w:val="Heading2"/>
      </w:pPr>
      <w:r>
        <w:t>Influenza-Impfeffektivität gegen Krankenhausaufnahmen: 46% Gesamtschutz in Nordirland 2024/25</w:t>
      </w:r>
    </w:p>
    <w:p>
      <w:r>
        <w:rPr>
          <w:i/>
          <w:color w:val="666666"/>
          <w:sz w:val="18"/>
        </w:rPr>
        <w:t>Bucholc M et al.  ·  Influenza Other Respir Viruses  ·  Aug. 2026  ·  PMID 42560010</w:t>
      </w:r>
    </w:p>
    <w:p>
      <w:r>
        <w:t>Test-Negativ-Design mit 2.024 influenzapositiven Fällen und 13.109 Kontrollen in 15.133 hospitalisierten Patienten zur Schätzung der Impfeffektivität gegen laborbestätigte Influenza.</w:t>
      </w:r>
    </w:p>
    <w:p>
      <w:r>
        <w:rPr>
          <w:b/>
        </w:rPr>
        <w:t xml:space="preserve">Ergebnis: </w:t>
      </w:r>
      <w:r>
        <w:t>Impfeffektivität gegen Influenza insgesamt 46,0% (95%-KI 39,7–51,8%), höher bei Kindern 2-17 Jahren (60,8%, 48,3–70,5%) als Erwachsenen 18-64 Jahren (40,5%, 24,9–53,2%) oder ≥65 Jahren (42,3%, 33,2–50,1%). Gegen Influenza-B: 76,4% (64,9–84,7%). Effektivität gegen A(H1) 44,3%, gegen A(H3) 49,9%. Die Wirksamkeit war höchsten 2-8 Wochen post-Impfung (51,9%) und nahm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vergleichbar mit deutschem Gesundheitssystem</w:t>
      </w:r>
    </w:p>
    <w:p>
      <w:r>
        <w:rPr>
          <w:color w:val="5A7D3A"/>
          <w:sz w:val="18"/>
        </w:rPr>
        <w:t>https://pubmed.ncbi.nlm.nih.gov/42560010/</w:t>
      </w:r>
    </w:p>
    <w:p>
      <w:pPr>
        <w:pStyle w:val="Heading2"/>
      </w:pPr>
      <w:r>
        <w:t>Impfluecken bei Kindern in Deutschland: Sozioökonomische Unterschiede und Rolle des Versorgungstyps</w:t>
      </w:r>
    </w:p>
    <w:p>
      <w:r>
        <w:rPr>
          <w:i/>
          <w:color w:val="666666"/>
          <w:sz w:val="18"/>
        </w:rPr>
        <w:t>Nussbaum C et al.  ·  BMC Med  ·  04.08.2026  ·  PMID 42557557</w:t>
      </w:r>
    </w:p>
    <w:p>
      <w:r>
        <w:t>Analyse von 430.000 Kindern aus Versicherungsdaten 2016-2019 zur Erfassung von Impfquoten und sozioökonomischen Gradienten bei von STIKO empfohlenen Impfungen.</w:t>
      </w:r>
    </w:p>
    <w:p>
      <w:r>
        <w:rPr>
          <w:b/>
        </w:rPr>
        <w:t xml:space="preserve">Ergebnis: </w:t>
      </w:r>
      <w:r>
        <w:t>Etwa 80% der empfohlenen Impfserien waren vollständig und rechtzeitig durchgeführt. Ein kleiner, aber signifikanter sozioökonomischer Gradient zugunsten höherer Einkommen zeigte sich (Konzentrationsindex 0,024). Der Anbietertyp erklärt den größten Teil des Gradienten: Hausarztpraxen hatten niedrigere Abschlussquoten als Kinderarztpraxen. Reisezeit trug weniger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Krankenkassendaten, vergleichbare Dokumentationspflichten</w:t>
      </w:r>
    </w:p>
    <w:p>
      <w:r>
        <w:rPr>
          <w:color w:val="5A7D3A"/>
          <w:sz w:val="18"/>
        </w:rPr>
        <w:t>https://pubmed.ncbi.nlm.nih.gov/42557557/</w:t>
      </w:r>
    </w:p>
    <w:p>
      <w:pPr>
        <w:pStyle w:val="Heading2"/>
      </w:pPr>
      <w:r>
        <w:t>Keuchhusten-Impfeffektivität im Säuglingsalter in den Niederlanden: 98,2% Schutz bei vollständiger Impfung</w:t>
      </w:r>
    </w:p>
    <w:p>
      <w:r>
        <w:rPr>
          <w:i/>
          <w:color w:val="666666"/>
          <w:sz w:val="18"/>
        </w:rPr>
        <w:t>van Meijeren DL et al.  ·  Vaccine  ·  13.08.2026  ·  PMID 42526173</w:t>
      </w:r>
    </w:p>
    <w:p>
      <w:r>
        <w:t>Fall-Kontroll-Studie mit 1.156 Fällen und 4.624 Kontrollen (laborbestätigt, 12-35 Monate, 2013-2024) zur Wirksamkeit der Grundimmunisierung gegen Pertussis.</w:t>
      </w:r>
    </w:p>
    <w:p>
      <w:r>
        <w:rPr>
          <w:b/>
        </w:rPr>
        <w:t xml:space="preserve">Ergebnis: </w:t>
      </w:r>
      <w:r>
        <w:t>Gesamteffektivität 98,2% (95%-KI 97,6–98,6) bei vollständiger Impfung. Wirksamkeit nahm mit der Zeit seit Impfung ab (p&lt;0,001): 51,9% zwei bis acht Wochen nach Impfung, 44,6% nach 9-16 Wochen, 41,4% nach ≥16 Wochen. Höhere Effektivität bei Kindern 2-17 Jahre (60,8%) als bei Erwachsenen 18-64 Jahre (40,5%) oder ≥65 Jahre (42,3%).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Vakzine</w:t>
      </w:r>
    </w:p>
    <w:p>
      <w:r>
        <w:rPr>
          <w:color w:val="5A7D3A"/>
          <w:sz w:val="18"/>
        </w:rPr>
        <w:t>https://pubmed.ncbi.nlm.nih.gov/42526173/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2026-09-01T06:00:00Z</dcterms:created>
  <dcterms:modified xsi:type="dcterms:W3CDTF">2026-09-01T06:00:00Z</dcterms:modified>
  <cp:category/>
</cp:coreProperties>
</file>