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Impfen und Praevention</w:t>
      </w:r>
    </w:p>
    <w:p>
      <w:r>
        <w:rPr>
          <w:i/>
          <w:color w:val="666666"/>
          <w:sz w:val="18"/>
        </w:rPr>
        <w:t>Stand: 27.10.2026  |  6 Studien  |  impfen.m-vf.de</w:t>
      </w:r>
    </w:p>
    <w:p>
      <w:pPr>
        <w:pStyle w:val="Heading1"/>
      </w:pPr>
      <w:r>
        <w:t>Aufgenommen am 27.10.2026</w:t>
      </w:r>
    </w:p>
    <w:p>
      <w:pPr>
        <w:pStyle w:val="Heading2"/>
      </w:pPr>
      <w:r>
        <w:t>Lyme-Borreliose in Frankreich: Impfbereitschaft bei hohem Wissen, aber Finanzsorgen</w:t>
      </w:r>
    </w:p>
    <w:p>
      <w:r>
        <w:rPr>
          <w:i/>
          <w:color w:val="666666"/>
          <w:sz w:val="18"/>
        </w:rPr>
        <w:t>Pouyaban C et al.  ·  Pathogens  ·  02.10.2026  ·  PMID 42931202</w:t>
      </w:r>
    </w:p>
    <w:p>
      <w:r>
        <w:t>Onlinebefragung von 1.803 französischen Erwachsenen (18–65 Jahre) November 2022–Januar 2023 zu Bewusstsein, Risikowahrnehmung, Präventionsverhalten und Impfbereitschaft gegen Lyme-Borreliose.</w:t>
      </w:r>
    </w:p>
    <w:p>
      <w:r>
        <w:rPr>
          <w:b/>
        </w:rPr>
        <w:t xml:space="preserve">Ergebnis: </w:t>
      </w:r>
      <w:r>
        <w:t>Zecken-Bewusstsein war hoch (94,1%), Lyme-Bewusstsein geringfügig niedriger (74,5%). Von Zecken- und Lyme-Bewussten nahmen 39,4% ein hohes Zeckenrisiko und 29,7% ein hohes Lyme-Risiko wahr. Häufigste Präventionsmaßnahmen: Zeckenkontrollen nach Exposition (39,8%) und Schutzkleidung (38,5%). Hauptbarrieren gegen Impfung: Sorge vor Nebenwirkungen (63,2%) und Kosten (42,4%). Impfbereitschaft erreichte 68,3% in einem Szenario mit Rückerstattung und Fachempfehlung.</w:t>
      </w:r>
    </w:p>
    <w:p>
      <w:r>
        <w:rPr>
          <w:b/>
          <w:sz w:val="19"/>
        </w:rPr>
        <w:t xml:space="preserve">Übertragbarkeit: </w:t>
      </w:r>
      <w:r>
        <w:rPr>
          <w:sz w:val="19"/>
        </w:rPr>
        <w:t>Frankreich, europäisches Sozialversicherungssystem, Befragungsergebnisse übertragbar auf Deutschland hinsichtlich Finanzierungsbarrieren</w:t>
      </w:r>
    </w:p>
    <w:p>
      <w:r>
        <w:rPr>
          <w:color w:val="5A7D3A"/>
          <w:sz w:val="18"/>
        </w:rPr>
        <w:t>https://pubmed.ncbi.nlm.nih.gov/42931202/</w:t>
      </w:r>
    </w:p>
    <w:p>
      <w:pPr>
        <w:pStyle w:val="Heading2"/>
      </w:pPr>
      <w:r>
        <w:t>Herpes zoster: Nebenwirkungsprofile nach Zweitimpfung variieren nach Impfabstand</w:t>
      </w:r>
    </w:p>
    <w:p>
      <w:r>
        <w:rPr>
          <w:i/>
          <w:color w:val="666666"/>
          <w:sz w:val="18"/>
        </w:rPr>
        <w:t>Dawes L et al.  ·  Med J Aust  ·  Nov. 2026  ·  PMID 42928968</w:t>
      </w:r>
    </w:p>
    <w:p>
      <w:r>
        <w:t>Befragungsstudie in Australien mit 41.069 älteren Erwachsenen, die sich gegen Herpes zoster impften ließen; Erfassung selbstberichteter Nebenwirkungen nach erster und zweiter Dosis sowie Einfluss des Impfabstands.</w:t>
      </w:r>
    </w:p>
    <w:p>
      <w:r>
        <w:rPr>
          <w:b/>
        </w:rPr>
        <w:t xml:space="preserve">Ergebnis: </w:t>
      </w:r>
      <w:r>
        <w:t>Nebenwirkungsraten waren nach Dosis 2 (54%, 95%-KI 53–54%) höher als nach Dosis 1 (45%, 95%-KI 45–46%), besonders bei Abständen von 3–6 Monaten und 7–9 Monaten. Ärztliche Bewertungen von Nebenwirkungen blieben niedrig (1,1%, 95%-KI 1,0–1,2%). Dies deutet darauf hin, dass der Impfstoff reaktogen ist, aber keine schwerwiegenden Folgen auftraten.</w:t>
      </w:r>
    </w:p>
    <w:p>
      <w:r>
        <w:rPr>
          <w:b/>
          <w:sz w:val="19"/>
        </w:rPr>
        <w:t xml:space="preserve">Übertragbarkeit: </w:t>
      </w:r>
      <w:r>
        <w:rPr>
          <w:sz w:val="19"/>
        </w:rPr>
        <w:t>Australien, vergleichbares Meldesystem für Impfnebenwirkungen (AusVaxSafety)</w:t>
      </w:r>
    </w:p>
    <w:p>
      <w:r>
        <w:rPr>
          <w:color w:val="5A7D3A"/>
          <w:sz w:val="18"/>
        </w:rPr>
        <w:t>https://pubmed.ncbi.nlm.nih.gov/42928968/</w:t>
      </w:r>
    </w:p>
    <w:p>
      <w:pPr>
        <w:pStyle w:val="Heading2"/>
      </w:pPr>
      <w:r>
        <w:t>H5N1-mRNA-Impfstoff: Längere Abstände steigern Dauer der Immunität</w:t>
      </w:r>
    </w:p>
    <w:p>
      <w:r>
        <w:rPr>
          <w:i/>
          <w:color w:val="666666"/>
          <w:sz w:val="18"/>
        </w:rPr>
        <w:t>Pragalos AA et al.  ·  Nat Commun  ·  24.09.2026  ·  PMID 42928290</w:t>
      </w:r>
    </w:p>
    <w:p>
      <w:r>
        <w:t>Phase-1-Studie (n=212 Erwachsene) zur Sicherheit und Immunogenität des selbstamplifizierenden mRNA-Impfstoffs ARCT-2304 (anti-H5N1) mit zwei Dosen im 4- oder 8-Wochen-Abstand.</w:t>
      </w:r>
    </w:p>
    <w:p>
      <w:r>
        <w:rPr>
          <w:b/>
        </w:rPr>
        <w:t xml:space="preserve">Ergebnis: </w:t>
      </w:r>
      <w:r>
        <w:t>ARCT-2304 war gut verträglich; Nebenwirkungen waren überwiegend mild–moderat und transient, dosisabhängig. Zwei Dosen lösten robuste humorale Antikörper-Antworten (Hämagglutinin-Inhibition und Neuraminidase-Enzyme-Linked-Lectin-Assay) aus. Der 8-Wochen-Abstand erzielte höhere Magnitude und bessere Durabilität als 4 Wochen, mit signifikant erhöhten neutralisierenden und Anti-Neuraminidase-Antikörpern 6–7 Monate nach zweiter Dosis. ARCT-2304 induzierte zudem dosisabhängige, Th1-polarisierte T-Zell-Antworten mit Peak an Tag 29.</w:t>
      </w:r>
    </w:p>
    <w:p>
      <w:r>
        <w:rPr>
          <w:b/>
          <w:sz w:val="19"/>
        </w:rPr>
        <w:t xml:space="preserve">Übertragbarkeit: </w:t>
      </w:r>
      <w:r>
        <w:rPr>
          <w:sz w:val="19"/>
        </w:rPr>
        <w:t>USA; Sicherheits- und Immunogenitätsbefunde für pandemische Influenza-Preparedness übertragbar</w:t>
      </w:r>
    </w:p>
    <w:p>
      <w:r>
        <w:rPr>
          <w:color w:val="5A7D3A"/>
          <w:sz w:val="18"/>
        </w:rPr>
        <w:t>https://pubmed.ncbi.nlm.nih.gov/42928290/</w:t>
      </w:r>
    </w:p>
    <w:p>
      <w:pPr>
        <w:pStyle w:val="Heading2"/>
      </w:pPr>
      <w:r>
        <w:t>Universelle Hepatitis-B-Impfung im Säuglingsalter: Kosteneffektivität in Finnland</w:t>
      </w:r>
    </w:p>
    <w:p>
      <w:r>
        <w:rPr>
          <w:i/>
          <w:color w:val="666666"/>
          <w:sz w:val="18"/>
        </w:rPr>
        <w:t>Nieminen T et al.  ·  Vaccine  ·  20.12.2026  ·  PMID 42887417</w:t>
      </w:r>
    </w:p>
    <w:p>
      <w:r>
        <w:t>Statische Kohorten-Modellanalyse zur Kosteneffektivität einer universellen Hepatitis-B-Impfung für Neugeborene versus gezielter Risikogruppen-Impfung in Finnland.</w:t>
      </w:r>
    </w:p>
    <w:p>
      <w:r>
        <w:rPr>
          <w:b/>
        </w:rPr>
        <w:t xml:space="preserve">Ergebnis: </w:t>
      </w:r>
      <w:r>
        <w:t>Bei einem Geburtsjahrgang von 58.000 Kindern verhinderte die universelle Impfung 41 akute Fälle, drei chronische Infektionen und drei Todesfälle. Die inkrementelle Kosteneffektivitätsrate lag zwischen 24.500 und 162.900 Euro pro gewonnenes Lebensjahr in Qualität (QALY), abhängig vom Preisunterschied zwischen Penta- und Hexavalent-Impfstoff (2–12 Euro pro Dosis). Bei sehr niedriger Hepatitis-B-Prävalenz ist universelle Impfung nur bei minimalem Preisunterschied der Vakzine zu rechtfertigen.</w:t>
      </w:r>
    </w:p>
    <w:p>
      <w:r>
        <w:rPr>
          <w:b/>
          <w:sz w:val="19"/>
        </w:rPr>
        <w:t xml:space="preserve">Übertragbarkeit: </w:t>
      </w:r>
      <w:r>
        <w:rPr>
          <w:sz w:val="19"/>
        </w:rPr>
        <w:t>Finnland, vergleichbares Gesundheitssystem und Impfkalender; Kostendaten aus Register</w:t>
      </w:r>
    </w:p>
    <w:p>
      <w:r>
        <w:rPr>
          <w:color w:val="5A7D3A"/>
          <w:sz w:val="18"/>
        </w:rPr>
        <w:t>https://pubmed.ncbi.nlm.nih.gov/42887417/</w:t>
      </w:r>
    </w:p>
    <w:p>
      <w:pPr>
        <w:pStyle w:val="Heading2"/>
      </w:pPr>
      <w:r>
        <w:t>Influenza- und COVID-19-Impfeffektivität bei Älteren: Falldefini­tionen beeinflussen Ergebnisse</w:t>
      </w:r>
    </w:p>
    <w:p>
      <w:r>
        <w:rPr>
          <w:i/>
          <w:color w:val="666666"/>
          <w:sz w:val="18"/>
        </w:rPr>
        <w:t>Marques DFP et al.  ·  Vaccine  ·  20.12.2026  ·  PMID 42869874</w:t>
      </w:r>
    </w:p>
    <w:p>
      <w:r>
        <w:t>Test-Negative-Design-Studie in sieben europäischen Ländern (VEBIS-Netzwerk) zu Influenza- und COVID-19-Impfeffektivität bei Personen ≥65 Jahren; Vergleich zweier Falldefini­tionen für schwere akute Atemwegsinfektionen (SARI-CD1: ≥1 Symptom; SARI-CD2: Fieber UND Husten).</w:t>
      </w:r>
    </w:p>
    <w:p>
      <w:r>
        <w:rPr>
          <w:b/>
        </w:rPr>
        <w:t xml:space="preserve">Ergebnis: </w:t>
      </w:r>
      <w:r>
        <w:t>Impfeffektivität war ähnlich zwischen den Falldefini­tionen für Influenza A(H3N2) und Alter 65–79 Jahre. Für A(H1N1)pdm09 lag der Unterschied bei 10% (34% vs. 44%), für Alter ≥80 Jahre bei 19% und 60–119 Tage post-Vakzination bei 18%. Bei SARS-CoV-2 betrugen absolute Unterschiede 11% insgesamt, 11% bei ≥80 Jahren, 12% bei 60–119 Tagen. Andere Unterschiede &lt;10%. Signale deuten auf höhere Impfeffektivität mit restriktiver Definition bei älteren Patienten und längeren Zeitintervallen, 95%-Konfidenzintervalle überlappten aber.</w:t>
      </w:r>
    </w:p>
    <w:p>
      <w:r>
        <w:rPr>
          <w:b/>
          <w:sz w:val="19"/>
        </w:rPr>
        <w:t xml:space="preserve">Übertragbarkeit: </w:t>
      </w:r>
      <w:r>
        <w:rPr>
          <w:sz w:val="19"/>
        </w:rPr>
        <w:t>Sieben europäische Länder (Spanien, Portugal, Irland, Ungarn, Litauen, Rumänien, Kroatien, Belgien, Deutschland, Malta, Tschechien); SARI-Definitionen sind europaweit harmonisiert</w:t>
      </w:r>
    </w:p>
    <w:p>
      <w:r>
        <w:rPr>
          <w:color w:val="5A7D3A"/>
          <w:sz w:val="18"/>
        </w:rPr>
        <w:t>https://pubmed.ncbi.nlm.nih.gov/42869874/</w:t>
      </w:r>
    </w:p>
    <w:p>
      <w:pPr>
        <w:pStyle w:val="Heading2"/>
      </w:pPr>
      <w:r>
        <w:t>Blauzungenvirus: Impfbereitschaft und Barrieren bei deutschen Viehhaltern</w:t>
      </w:r>
    </w:p>
    <w:p>
      <w:r>
        <w:rPr>
          <w:i/>
          <w:color w:val="666666"/>
          <w:sz w:val="18"/>
        </w:rPr>
        <w:t>Rogoll L et al.  ·  Vaccine  ·  20.12.2026  ·  PMID 42860064</w:t>
      </w:r>
    </w:p>
    <w:p>
      <w:r>
        <w:t>Querschnittsbefragung von 1.965 deutschen Viehhaltern zu Wissen, Einstellungen und Praktiken (KAP) zur Impfung gegen Bluetongue-Virus-Serotyp 3 (BTV-3) nach dem Ausbruch 2023/2024.</w:t>
      </w:r>
    </w:p>
    <w:p>
      <w:r>
        <w:rPr>
          <w:b/>
        </w:rPr>
        <w:t xml:space="preserve">Ergebnis: </w:t>
      </w:r>
      <w:r>
        <w:t>Mehr als die Hälfte (&gt;50%) impfte ihre Tiere 2024 vollständig gegen BTV-3. Impfquoten waren signifikant höher auf konventionellen Betrieben als auf Bio-Höfen und bei Kleinwiederkäuern als bei Rindern. Höheres Wissen über BTV und Impfung war positiv mit Impfbereitschaft assoziiert (logistische Regression). Ein Drittel der Teilnehmer impfte 2024 nicht; Hauptbarrieren waren Sorgen vor Nebenwirkungen (keine präzisen %) und wirtschaftliche Gründe. Finanzielle Anreize, Veterinär-Empfehlungen und kombinierte Serotyp-Impfstoffe wurden als Hebel identifiziert.</w:t>
      </w:r>
    </w:p>
    <w:p>
      <w:r>
        <w:rPr>
          <w:b/>
          <w:sz w:val="19"/>
        </w:rPr>
        <w:t xml:space="preserve">Übertragbarkeit: </w:t>
      </w:r>
      <w:r>
        <w:rPr>
          <w:sz w:val="19"/>
        </w:rPr>
        <w:t>Deutschland, direkte Feldstudien-Daten zu Versorgungserreichung</w:t>
      </w:r>
    </w:p>
    <w:p>
      <w:r>
        <w:rPr>
          <w:color w:val="5A7D3A"/>
          <w:sz w:val="18"/>
        </w:rPr>
        <w:t>https://pubmed.ncbi.nlm.nih.gov/42860064/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Impfen und Praevention</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