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Impfen und Praevention</w:t>
      </w:r>
    </w:p>
    <w:p>
      <w:r>
        <w:rPr>
          <w:i/>
          <w:color w:val="666666"/>
          <w:sz w:val="18"/>
        </w:rPr>
        <w:t>Stand: 15.10.2026  |  6 Studien  |  impfen.m-vf.de</w:t>
      </w:r>
    </w:p>
    <w:p>
      <w:pPr>
        <w:pStyle w:val="Heading1"/>
      </w:pPr>
      <w:r>
        <w:t>Aufgenommen am 15.10.2026</w:t>
      </w:r>
    </w:p>
    <w:p>
      <w:pPr>
        <w:pStyle w:val="Heading2"/>
      </w:pPr>
      <w:r>
        <w:t>HPV-Impfkosten-Analysen: Metho­den bestimmen das Ergebnis mehr als der Impfstoff</w:t>
      </w:r>
    </w:p>
    <w:p>
      <w:r>
        <w:rPr>
          <w:i/>
          <w:color w:val="666666"/>
          <w:sz w:val="18"/>
        </w:rPr>
        <w:t>Kisa A et al.  ·  PLoS One  ·  14.10.2026  ·  PMID 42873751</w:t>
      </w:r>
    </w:p>
    <w:p>
      <w:r>
        <w:t>Scoping Review von 44 ökonomischen Evaluationen zur HPV-Impfung (2003–2025), Analyse von Methodenvielfalt, Treibern der Variation und Übertragbarkeit.</w:t>
      </w:r>
    </w:p>
    <w:p>
      <w:r>
        <w:rPr>
          <w:b/>
        </w:rPr>
        <w:t xml:space="preserve">Ergebnis: </w:t>
      </w:r>
      <w:r>
        <w:t>33 vollständige Kosteneffektivitäts­studien analysiert. Haupttreiber der Variation: Impfstoffpreis, Diskontrate, Herden­immunitäts­annahmen, Kreuzschutz­annahmen, Schwellenwert. Berichtsqualität korrelierte nicht mit methodischer Kreditwürdigkeit. Kostensätze und Screening­kontext bestimmen Übertragbarkeit mehr als reine ICER-Werte. Formale Analysen zu Ein-Dosis-Szenarien emerging, aber Daten zu Langzeitschutz und umsetzungsrelevanten Kosten fehlend.</w:t>
      </w:r>
    </w:p>
    <w:p>
      <w:r>
        <w:rPr>
          <w:b/>
          <w:sz w:val="19"/>
        </w:rPr>
        <w:t xml:space="preserve">Übertragbarkeit: </w:t>
      </w:r>
      <w:r>
        <w:rPr>
          <w:sz w:val="19"/>
        </w:rPr>
        <w:t>Verschiedene Länder, aber Methoden-Abhängigkeit zeigt: direkte Übertragung kostet­eff­ektivitäts­befunde problematisch</w:t>
      </w:r>
    </w:p>
    <w:p>
      <w:r>
        <w:rPr>
          <w:color w:val="5A7D3A"/>
          <w:sz w:val="18"/>
        </w:rPr>
        <w:t>https://pubmed.ncbi.nlm.nih.gov/42873751/</w:t>
      </w:r>
    </w:p>
    <w:p>
      <w:pPr>
        <w:pStyle w:val="Heading2"/>
      </w:pPr>
      <w:r>
        <w:t>RSV-Impfquoten bei älteren US-Amerikanern bleiben niedrig</w:t>
      </w:r>
    </w:p>
    <w:p>
      <w:r>
        <w:rPr>
          <w:i/>
          <w:color w:val="666666"/>
          <w:sz w:val="18"/>
        </w:rPr>
        <w:t>Saundankar V et al.  ·  Hum Vaccin Immunother  ·  14.10.2026  ·  PMID 42872881</w:t>
      </w:r>
    </w:p>
    <w:p>
      <w:r>
        <w:t>Retrospektive Analyse der RSV-Impfquoten bei Medicare-Versicherten ab 65 Jahren in zwei Saisons.</w:t>
      </w:r>
    </w:p>
    <w:p>
      <w:r>
        <w:rPr>
          <w:b/>
        </w:rPr>
        <w:t xml:space="preserve">Ergebnis: </w:t>
      </w:r>
      <w:r>
        <w:t>Insgesamt 21% der ≥65-Jährigen in der Vorsaison 2023/24 geimpft, in Saison 2024/25 sinkend. Höhere Quote bei ≥75-Jährigen. Von 1,7 Mio. Personen, die 2024-Kriterien erfüllten, waren etwa 80% ungeimpft. Impfspitzen im Oktober beider Jahre. Zielgerichtete Strategien zur Erreichung von Hochrisiko-Gruppen erforderlich.</w:t>
      </w:r>
    </w:p>
    <w:p>
      <w:r>
        <w:rPr>
          <w:b/>
          <w:sz w:val="19"/>
        </w:rPr>
        <w:t xml:space="preserve">Übertragbarkeit: </w:t>
      </w:r>
      <w:r>
        <w:rPr>
          <w:sz w:val="19"/>
        </w:rPr>
        <w:t>USA, anderes Versicherungssystem; Befund zur Uptake-Barriere übertragbar, Daten nicht direkt auf Deutschland anwendbar</w:t>
      </w:r>
    </w:p>
    <w:p>
      <w:r>
        <w:rPr>
          <w:color w:val="5A7D3A"/>
          <w:sz w:val="18"/>
        </w:rPr>
        <w:t>https://pubmed.ncbi.nlm.nih.gov/42872881/</w:t>
      </w:r>
    </w:p>
    <w:p>
      <w:pPr>
        <w:pStyle w:val="Heading2"/>
      </w:pPr>
      <w:r>
        <w:t>Kombinimpfstoff gegen Influenza und COVID-19: Potenzial für höhere Impfquoten</w:t>
      </w:r>
    </w:p>
    <w:p>
      <w:r>
        <w:rPr>
          <w:i/>
          <w:color w:val="666666"/>
          <w:sz w:val="18"/>
        </w:rPr>
        <w:t>Schaffner W et al.  ·  Vaccine  ·  14.11.2026  ·  PMID 42790130</w:t>
      </w:r>
    </w:p>
    <w:p>
      <w:r>
        <w:t>Übersichtsarbeit zur Wirkung und Praktikabilität einer kombinierten Influenza-COVID-19-Impfung bei Erwachsenen.</w:t>
      </w:r>
    </w:p>
    <w:p>
      <w:r>
        <w:rPr>
          <w:b/>
        </w:rPr>
        <w:t xml:space="preserve">Ergebnis: </w:t>
      </w:r>
      <w:r>
        <w:t>Kombinimpfstoffe könnten die Akzeptanz durch vereinfachte Dosierung erhöhen und Impfgelegenheiten nicht verpassen. Fachkräfte und Patienten zeigen hohes Interesse; mehrere Kandidaten befinden sich in klinischen Prüfungen. Ein Impfstoff mit optimierter Timing und Virenstamm-Auswahl könnte den Schutz gegen zwei führende respiratorische Erreger stärken.</w:t>
      </w:r>
    </w:p>
    <w:p>
      <w:r>
        <w:rPr>
          <w:b/>
          <w:sz w:val="19"/>
        </w:rPr>
        <w:t xml:space="preserve">Übertragbarkeit: </w:t>
      </w:r>
      <w:r>
        <w:rPr>
          <w:sz w:val="19"/>
        </w:rPr>
        <w:t>Deutschland und andere Länder mit vergleichbarem Zugangsweg; Übertragbarkeit hängt von Empfehlungslogik ab</w:t>
      </w:r>
    </w:p>
    <w:p>
      <w:r>
        <w:rPr>
          <w:color w:val="5A7D3A"/>
          <w:sz w:val="18"/>
        </w:rPr>
        <w:t>https://pubmed.ncbi.nlm.nih.gov/42790130/</w:t>
      </w:r>
    </w:p>
    <w:p>
      <w:pPr>
        <w:pStyle w:val="Heading2"/>
      </w:pPr>
      <w:r>
        <w:t>Impfskepsis bei Haustieren: Vertrauen, Risiko­wahrnehmung und 'natürlicher' Ansatz</w:t>
      </w:r>
    </w:p>
    <w:p>
      <w:r>
        <w:rPr>
          <w:i/>
          <w:color w:val="666666"/>
          <w:sz w:val="18"/>
        </w:rPr>
        <w:t>Bloodworth S et al.  ·  Prev Vet Med  ·  16.09.2026  ·  PMID 42753359</w:t>
      </w:r>
    </w:p>
    <w:p>
      <w:r>
        <w:t>Qualitative Studie mittels Leitfaden­interviews mit 18 Hunde-/Katzen­haltern im UK zu Faktoren, die Impfentscheidungen beeinflussen.</w:t>
      </w:r>
    </w:p>
    <w:p>
      <w:r>
        <w:rPr>
          <w:b/>
        </w:rPr>
        <w:t xml:space="preserve">Ergebnis: </w:t>
      </w:r>
      <w:r>
        <w:t>Drei Kategorien beeinflussen Impfentscheidungen: Vertrauen in tierärztliche Expertise, Wahrnehmung der Impfstoffsicherheit, Gesundheits­verständnis. Halter wägen Impfrisiken gegen Krankheitsrisiken ab, beeinflusst durch persönliche Erfahrung und diverse Informationsquellen. Ein 'natürlicher' Ansatz (Vermeidung synthetischer Stoffe) bei Hundehaltern wirkte sich negativ auf Impfbereitschaft aus. Maßnahmen sollten zielgruppenspezifisch sein.</w:t>
      </w:r>
    </w:p>
    <w:p>
      <w:r>
        <w:rPr>
          <w:b/>
          <w:sz w:val="19"/>
        </w:rPr>
        <w:t xml:space="preserve">Übertragbarkeit: </w:t>
      </w:r>
      <w:r>
        <w:rPr>
          <w:sz w:val="19"/>
        </w:rPr>
        <w:t>Vereinigtes Königreich; Erkenntnisse zu Vaccine Hesitancy-Faktoren übertragbar, aber Kontext Heimtiere unterscheidet sich von Humanmedizin</w:t>
      </w:r>
    </w:p>
    <w:p>
      <w:r>
        <w:rPr>
          <w:color w:val="5A7D3A"/>
          <w:sz w:val="18"/>
        </w:rPr>
        <w:t>https://pubmed.ncbi.nlm.nih.gov/42753359/</w:t>
      </w:r>
    </w:p>
    <w:p>
      <w:pPr>
        <w:pStyle w:val="Heading2"/>
      </w:pPr>
      <w:r>
        <w:t>HPV-Prävalenz sank bei jungen Frauen trotz weiterer Genotypen-Diversität</w:t>
      </w:r>
    </w:p>
    <w:p>
      <w:r>
        <w:rPr>
          <w:i/>
          <w:color w:val="666666"/>
          <w:sz w:val="18"/>
        </w:rPr>
        <w:t>Urbano A et al.  ·  Ann Epidemiol  ·  07.09.2026  ·  PMID 42705395</w:t>
      </w:r>
    </w:p>
    <w:p>
      <w:r>
        <w:t>Querschnittsstudie zur HPV-Infektionshäufigkeit und Genotypverteilung in Spanien nach langjähriger Impfung, vergleichend zwischen Frauen ≤30 Jahren (geimpft) und &gt;30 Jahren (ungeimpft).</w:t>
      </w:r>
    </w:p>
    <w:p>
      <w:r>
        <w:rPr>
          <w:b/>
        </w:rPr>
        <w:t xml:space="preserve">Ergebnis: </w:t>
      </w:r>
      <w:r>
        <w:t>Von 5.885 Frauen: Gesamtprävalenz 39,8%, bei 20–29-Jährigen 57,9%. In der Impfkohorte (≤30J.) war HPV-Prävalenz höher (57,0% vs. 36,8%, p&lt;0,001) als in der Ungeimpften, aber HPV16-Anteil deutlich niedriger mit heterogenerer Genotypverteilung – Vakzine-Effekt auf Zielgenotypen erkennbar.</w:t>
      </w:r>
    </w:p>
    <w:p>
      <w:r>
        <w:rPr>
          <w:b/>
          <w:sz w:val="19"/>
        </w:rPr>
        <w:t xml:space="preserve">Übertragbarkeit: </w:t>
      </w:r>
      <w:r>
        <w:rPr>
          <w:sz w:val="19"/>
        </w:rPr>
        <w:t>Spanien, vergleichbare öffentliche Impfprogramme; Aussage gilt für hochgeimpfte europäische Populationen</w:t>
      </w:r>
    </w:p>
    <w:p>
      <w:r>
        <w:rPr>
          <w:color w:val="5A7D3A"/>
          <w:sz w:val="18"/>
        </w:rPr>
        <w:t>https://pubmed.ncbi.nlm.nih.gov/42705395/</w:t>
      </w:r>
    </w:p>
    <w:p>
      <w:pPr>
        <w:pStyle w:val="Heading2"/>
      </w:pPr>
      <w:r>
        <w:t>Nachverfolgung von Impfnebenwirkungen: Wann lohnt sich der Aufwand?</w:t>
      </w:r>
    </w:p>
    <w:p>
      <w:r>
        <w:rPr>
          <w:i/>
          <w:color w:val="666666"/>
          <w:sz w:val="18"/>
        </w:rPr>
        <w:t>Kara V et al.  ·  Drug Saf  ·  14.08.2026  ·  PMID 42599564</w:t>
      </w:r>
    </w:p>
    <w:p>
      <w:r>
        <w:t>Delphi-Konsensusverfahren mit internationalen Fachleuten zu Szenarien, in denen die Verfolgung von Nebenwirkungsmeldungen die Impfstoffsicherheitsbewertung verbessert.</w:t>
      </w:r>
    </w:p>
    <w:p>
      <w:r>
        <w:rPr>
          <w:b/>
        </w:rPr>
        <w:t xml:space="preserve">Ergebnis: </w:t>
      </w:r>
      <w:r>
        <w:t>Experten identifizierten drei Szenarien mit echtem Mehrwert: Kausalitätsprüfung, Signaldetektion und Risikomanagement. Gering oder kein Nutzen bei bekannten Labelnebenwirkungen, fehlender Kontaktierbarkeit und Fällen, wo zusätzliche Daten das Nutzen-Risiko-Verhältnis nicht ändern würden. Ressourcenschonende, zielgerichtete Verfolgung ersetzt unfokussierte Routine.</w:t>
      </w:r>
    </w:p>
    <w:p>
      <w:r>
        <w:rPr>
          <w:b/>
          <w:sz w:val="19"/>
        </w:rPr>
        <w:t xml:space="preserve">Übertragbarkeit: </w:t>
      </w:r>
      <w:r>
        <w:rPr>
          <w:sz w:val="19"/>
        </w:rPr>
        <w:t>Niederlande, Pharmakovigilanz-System; gilt für alle europäischen Meldewesen</w:t>
      </w:r>
    </w:p>
    <w:p>
      <w:r>
        <w:rPr>
          <w:color w:val="5A7D3A"/>
          <w:sz w:val="18"/>
        </w:rPr>
        <w:t>https://pubmed.ncbi.nlm.nih.gov/42599564/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Impfen und Praevention</dc:title>
  <dc:subject/>
  <dc:creator>Monitor Versorgungsforschung</dc:creator>
  <cp:keywords/>
  <dc:description>generated by python-docx</dc:description>
  <cp:lastModifiedBy/>
  <cp:revision>1</cp:revision>
  <dcterms:created xsi:type="dcterms:W3CDTF">2026-10-15T06:00:00Z</dcterms:created>
  <dcterms:modified xsi:type="dcterms:W3CDTF">2026-10-15T06:00:00Z</dcterms:modified>
  <cp:category/>
</cp:coreProperties>
</file>