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08.09.2026  |  6 Studien  |  impfen.m-vf.de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Influenzaimpfung in der Schwangerschaft: Wahrnehmungen, Barrieren und Einflussfaktoren im Iran</w:t>
      </w:r>
    </w:p>
    <w:p>
      <w:r>
        <w:rPr>
          <w:i/>
          <w:color w:val="666666"/>
          <w:sz w:val="18"/>
        </w:rPr>
        <w:t>Yousefi M et al.  ·  Hum Vaccin Immunother  ·  07.09.2026  ·  PMID 42704733</w:t>
      </w:r>
    </w:p>
    <w:p>
      <w:r>
        <w:t>Querschnittsbefragung von 630 schwangeren Frauen zu Determinanten der Influenzaimpfakzeptanz mittels kombiniertem Health Belief Model und Theory of Planned Behavior.</w:t>
      </w:r>
    </w:p>
    <w:p>
      <w:r>
        <w:rPr>
          <w:b/>
        </w:rPr>
        <w:t xml:space="preserve">Ergebnis: </w:t>
      </w:r>
      <w:r>
        <w:t>73% wurden während Schwangerschaft geimpft. Wahrgenommene Anfälligkeit und positive Einstellung waren Prädiktoren für Impfintention (β=0,18 bzw. 0,13), wahrgenommene Barrieren wirkten negativ (β=-0,15). Häufigste Barrieren: Nebenwirkungsangst (49,4%), eingeschränkter Zugang (28,2%), fehlende Ärztempfehlung (27,1%), unzureichende Information (34,1%).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Iran; Erkenntnisse zu Kommunikationsbarrieren in Ländern mit schwächerer Gesundheitsinfrastruktur teilweise übertragbar</w:t>
      </w:r>
    </w:p>
    <w:p>
      <w:r>
        <w:rPr>
          <w:color w:val="5A7D3A"/>
          <w:sz w:val="18"/>
        </w:rPr>
        <w:t>https://pubmed.ncbi.nlm.nih.gov/42704733/</w:t>
      </w:r>
    </w:p>
    <w:p>
      <w:pPr>
        <w:pStyle w:val="Heading2"/>
      </w:pPr>
      <w:r>
        <w:t>Schulisches Engagement für HPV-Impfbewusstsein steigert Akzeptanz bei Mädchen in Malawi</w:t>
      </w:r>
    </w:p>
    <w:p>
      <w:r>
        <w:rPr>
          <w:i/>
          <w:color w:val="666666"/>
          <w:sz w:val="18"/>
        </w:rPr>
        <w:t>Lubanga AF et al.  ·  Hum Vaccin Immunother  ·  07.09.2026  ·  PMID 42703762</w:t>
      </w:r>
    </w:p>
    <w:p>
      <w:r>
        <w:t>Implementierungsfallstudie einer zweitägigen Schulen- und Gemeinde-Engagementinitiative zur HPV-Impfförderung in Lilongwe, Malawi (2025–2026).</w:t>
      </w:r>
    </w:p>
    <w:p>
      <w:r>
        <w:rPr>
          <w:b/>
        </w:rPr>
        <w:t xml:space="preserve">Ergebnis: </w:t>
      </w:r>
      <w:r>
        <w:t>Über 500 Mädchen (9–14 Jahre) wurden durch schulische Aufklärung erreicht, 45 Gemeindeakteure eingebunden, 100 berechtigte Mädchen geimpft. Zentrale Erfolgsfaktoren: Vertrauen zu Impfpersonal, Schulbeteiligung, Dialogformate, Unterstützung von Gemeindeleitern. Identifizierte Bedenken: Fertilitätsangst, Impfstoffsicherheit, Geschlechtszielung.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Subsahara-Afrika; Strategien für vertrauensbasierte Gemeindemobilisierung teilweise auf Deutschland übertragbar</w:t>
      </w:r>
    </w:p>
    <w:p>
      <w:r>
        <w:rPr>
          <w:color w:val="5A7D3A"/>
          <w:sz w:val="18"/>
        </w:rPr>
        <w:t>https://pubmed.ncbi.nlm.nih.gov/42703762/</w:t>
      </w:r>
    </w:p>
    <w:p>
      <w:pPr>
        <w:pStyle w:val="Heading2"/>
      </w:pPr>
      <w:r>
        <w:t>COVID-19-Auffrischungsimpfung: Ländliche und städtische Disparitäten in Südbangladesh</w:t>
      </w:r>
    </w:p>
    <w:p>
      <w:r>
        <w:rPr>
          <w:i/>
          <w:color w:val="666666"/>
          <w:sz w:val="18"/>
        </w:rPr>
        <w:t>Nath Roy D et al.  ·  Risk Anal  ·  Sept. 2026  ·  PMID 42702940</w:t>
      </w:r>
    </w:p>
    <w:p>
      <w:r>
        <w:t>Querschnittsbeobachtungsstudie (Dezember 2023–März 2024) zu Akzeptanz und Prädiktoren der Auffrischungsimpfung in ländlichen (n=379) und städtischen (n=328) Populationen in Südbangladesh.</w:t>
      </w:r>
    </w:p>
    <w:p>
      <w:r>
        <w:rPr>
          <w:b/>
        </w:rPr>
        <w:t xml:space="preserve">Ergebnis: </w:t>
      </w:r>
      <w:r>
        <w:t>Akzeptanzquote 69,9% insgesamt, ländlich 62,5% (95%-KI: 60,6–64,8) vs. urban 78,4% (95%-KI: 76,2–80,6; p&lt;0,001). Nebenwirkungsangst negativ assoziiert in beiden Settings. Ländlich: Kommunikation, Vertrauen, sozialer Einfluss positiv assoziiert. Urban: Gemeinschaftsschutz und Risiko-Nutzen-Verhältnis signifikant; Unabhängigkeit von Nicht-Pharmaka negativ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Bangladesch; Erkenntnisse zu Vertrauenslücken und Kommunikationshindernissen in Ländern mit niedriger Impfquote</w:t>
      </w:r>
    </w:p>
    <w:p>
      <w:r>
        <w:rPr>
          <w:color w:val="5A7D3A"/>
          <w:sz w:val="18"/>
        </w:rPr>
        <w:t>https://pubmed.ncbi.nlm.nih.gov/42702940/</w:t>
      </w:r>
    </w:p>
    <w:p>
      <w:pPr>
        <w:pStyle w:val="Heading2"/>
      </w:pPr>
      <w:r>
        <w:t>COVID-19-Impfquote bei Psychiatriepatienten in Bayern deutlich höher als in der Bevölkerung</w:t>
      </w:r>
    </w:p>
    <w:p>
      <w:r>
        <w:rPr>
          <w:i/>
          <w:color w:val="666666"/>
          <w:sz w:val="18"/>
        </w:rPr>
        <w:t>Aksar A et al.  ·  J Psychiatr Res  ·  12.08.2026  ·  PMID 42603342</w:t>
      </w:r>
    </w:p>
    <w:p>
      <w:r>
        <w:t>Retrospektive Analyse der COVID-19-Impfquoten bei psychiatrischen Patienten in stationärer und ambulanter Behandlung in Südostbayern (2022–2023) im Vergleich zur Allgemeinbevölkerung.</w:t>
      </w:r>
    </w:p>
    <w:p>
      <w:r>
        <w:rPr>
          <w:b/>
        </w:rPr>
        <w:t xml:space="preserve">Ergebnis: </w:t>
      </w:r>
      <w:r>
        <w:t>Ungeimpftenquote in der Studiengruppe (n=3.734 Fälle) 13,6% vs. Bayerndurchschnitt 15–20%; höhere Quoten bei älteren und weiblichen Patienten, niedrigere bei Alkohol- und Substanzabhängigen. Ergebnis deuted auf positive Effekte von stationären Impfangeboten hin, bedarf aber weiterer Erforschung.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eigene Impfdokumentation ohne Registeranbindung</w:t>
      </w:r>
    </w:p>
    <w:p>
      <w:r>
        <w:rPr>
          <w:color w:val="5A7D3A"/>
          <w:sz w:val="18"/>
        </w:rPr>
        <w:t>https://pubmed.ncbi.nlm.nih.gov/42603342/</w:t>
      </w:r>
    </w:p>
    <w:p>
      <w:pPr>
        <w:pStyle w:val="Heading2"/>
      </w:pPr>
      <w:r>
        <w:t>Neustart in der RSV-Prävention: Nirsevimab und mütterliche Vakzination reduzieren Hospitalisierungen</w:t>
      </w:r>
    </w:p>
    <w:p>
      <w:r>
        <w:rPr>
          <w:i/>
          <w:color w:val="666666"/>
          <w:sz w:val="18"/>
        </w:rPr>
        <w:t>Marchetti F  ·  Recenti Prog Med  ·  Juli 2026  ·  PMID 42459097</w:t>
      </w:r>
    </w:p>
    <w:p>
      <w:r>
        <w:t>Narrativer Übersichtsartikel zur neuen Ärade der RSV-Prävention in früher Kindheit durch langwirksames monoklonales Antikörper Nirsevimab und mütterliche RSVpreF-Impfung basierend auf Real-World Evidence.</w:t>
      </w:r>
    </w:p>
    <w:p>
      <w:r>
        <w:rPr>
          <w:b/>
        </w:rPr>
        <w:t xml:space="preserve">Ergebnis: </w:t>
      </w:r>
      <w:r>
        <w:t>Großangelegte bevölkerungsbasierte Studien (z.B. französische Studie mit &gt;160.000 Säuglingen) belegen wesentliche Reduktion von RSV-bedingten Hospitalisierungen, intensivmedizinischer Aufnahmen und Beatmungsbedarf bei Nirsevimab-geimpften Säuglingen. Mütterliche Impfung schützt transplazentar bei optimaler Timing; Nirsevimab bietet unabhängige Vorhersagbarkeit.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und europäische Daten zur Implementierungserfahrung; nationales Impfprogramm für Deutschland noch zu entwickeln</w:t>
      </w:r>
    </w:p>
    <w:p>
      <w:r>
        <w:rPr>
          <w:color w:val="5A7D3A"/>
          <w:sz w:val="18"/>
        </w:rPr>
        <w:t>https://pubmed.ncbi.nlm.nih.gov/42459097/</w:t>
      </w:r>
    </w:p>
    <w:p>
      <w:pPr>
        <w:pStyle w:val="Heading2"/>
      </w:pPr>
      <w:r>
        <w:t>Immunitätslücken bei Diphtherie, Tetanus und Keuchhusten in Norwegen</w:t>
      </w:r>
    </w:p>
    <w:p>
      <w:r>
        <w:rPr>
          <w:i/>
          <w:color w:val="666666"/>
          <w:sz w:val="18"/>
        </w:rPr>
        <w:t>Aase A et al.  ·  Vaccine  ·  30.08.2026  ·  PMID 42413320</w:t>
      </w:r>
    </w:p>
    <w:p>
      <w:r>
        <w:t>Serologische Querschnittsstudie an repräsentativer norwegischer Bevölkerung (n=3.051, Alter 2–95 Jahre) zur Antikörperprävalenz gegen sieben Impfkrankheiten.</w:t>
      </w:r>
    </w:p>
    <w:p>
      <w:r>
        <w:rPr>
          <w:b/>
        </w:rPr>
        <w:t xml:space="preserve">Ergebnis: </w:t>
      </w:r>
      <w:r>
        <w:t>39,8% der Frauen und 25,0% der Männer ≥60 Jahre unter Schutzwert Diphtherie; 76,5% bzw. 41,7% unter Schutzwert Tetanus. Bei 6-Jährigen: 20,7% unter Diphtherie-, 25,0% unter Tetanus-Schutzwert vor Auffrischung. Masern und Röteln ausreichend protektiv in allen Altersgruppen.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Nordeuropäisches Impfregister ermöglicht präzise Kohortenabfrage; Empfehlungskalender und Auffrischungsintervalle nicht direkt auf Deutschland übertragbar</w:t>
      </w:r>
    </w:p>
    <w:p>
      <w:r>
        <w:rPr>
          <w:color w:val="5A7D3A"/>
          <w:sz w:val="18"/>
        </w:rPr>
        <w:t>https://pubmed.ncbi.nlm.nih.gov/42413320/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2026-09-08T06:00:00Z</dcterms:created>
  <dcterms:modified xsi:type="dcterms:W3CDTF">2026-09-08T06:00:00Z</dcterms:modified>
  <cp:category/>
</cp:coreProperties>
</file>