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28.08.2026  |  6 Studien  |  impfen.m-vf.de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Influenza-Impfung reduziert Todesfälle bei hospitalisiertem älteren Alter</w:t>
      </w:r>
    </w:p>
    <w:p>
      <w:r>
        <w:rPr>
          <w:i/>
          <w:color w:val="666666"/>
          <w:sz w:val="18"/>
        </w:rPr>
        <w:t>Marques DFP et al.  ·  Expert Rev Vaccines  ·  27.08.2026  ·  PMID 42657682</w:t>
      </w:r>
    </w:p>
    <w:p>
      <w:r>
        <w:t>Retrospektive Kohortenstudie aus dem europäischen I-MOVE-Netzwerk untersuchte die Assoziation zwischen Influenza-Impfung und schweren Outcomes bei ≥65-jährigen mit laborbestätigter Influenza (2015/16–2024/25).</w:t>
      </w:r>
    </w:p>
    <w:p>
      <w:r>
        <w:rPr>
          <w:b/>
        </w:rPr>
        <w:t xml:space="preserve">Ergebnis: </w:t>
      </w:r>
      <w:r>
        <w:t>Bei 4.257 Patienten zeigte Impfung wenig Assoziation mit ICU-Aufnahmen (RRR 11 %, 95% CI: -21–34), aber war mit 26-prozentiger Reduktion der Todesfälle während Hospitalisierung assoziiert (95% CI: 3–43). In der älteren Gruppe ≥80 Jahre betrug die Reduktion der In-Hospital-Mortalität 29%.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Klinikdaten, vergleichbare Dokumentationspflichten, direkt auf Deutschland übertragbar.</w:t>
      </w:r>
    </w:p>
    <w:p>
      <w:r>
        <w:rPr>
          <w:color w:val="5A7D3A"/>
          <w:sz w:val="18"/>
        </w:rPr>
        <w:t>https://pubmed.ncbi.nlm.nih.gov/42657682/</w:t>
      </w:r>
    </w:p>
    <w:p>
      <w:pPr>
        <w:pStyle w:val="Heading2"/>
      </w:pPr>
      <w:r>
        <w:t>Unregistrierte Migranten-Kinder unterimpft: Rechtszugang ist zentral</w:t>
      </w:r>
    </w:p>
    <w:p>
      <w:r>
        <w:rPr>
          <w:i/>
          <w:color w:val="666666"/>
          <w:sz w:val="18"/>
        </w:rPr>
        <w:t>Oo SM et al.  ·  Med Sci (Basel)  ·  02.08.2026  ·  PMID 42646586</w:t>
      </w:r>
    </w:p>
    <w:p>
      <w:r>
        <w:t>Querschnittstudie mit 423 burmesischen Migrantenkinder unter 7 Jahren in Nord-Thailand; Faktoren für unvollständige Impfungen wurden gemessen (2025).</w:t>
      </w:r>
    </w:p>
    <w:p>
      <w:r>
        <w:rPr>
          <w:b/>
        </w:rPr>
        <w:t xml:space="preserve">Ergebnis: </w:t>
      </w:r>
      <w:r>
        <w:t>21,5 % waren unterimpft. Unabhängige Risikofaktoren: Fehlen von Geburtsregistrierung (aOR 9,52, 95% CI 3,74–24,27), fehlende Krankenversicherung (aOR 14,03, 95% CI 6,45–30,54), Rückkehr-Migration (aOR 19,05, 95% CI 8,48–44,13), Zeitbarrieren (aOR 4,09, 95% CI 1,20–13,94) und finanzielle Barrieren (aOR 7,07, 95% CI 1,67–29,91).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Thailand; zeigt strukturelle Hürden bei Migranten; relevante Erkenntnisse für Deutschland bei Flucht und Asyl.</w:t>
      </w:r>
    </w:p>
    <w:p>
      <w:r>
        <w:rPr>
          <w:color w:val="5A7D3A"/>
          <w:sz w:val="18"/>
        </w:rPr>
        <w:t>https://pubmed.ncbi.nlm.nih.gov/42646586/</w:t>
      </w:r>
    </w:p>
    <w:p>
      <w:pPr>
        <w:pStyle w:val="Heading2"/>
      </w:pPr>
      <w:r>
        <w:t>Impfskepsis ist stärkste Barriere in fragiler Lage: Somaliisches Feldbeispiel</w:t>
      </w:r>
    </w:p>
    <w:p>
      <w:r>
        <w:rPr>
          <w:i/>
          <w:color w:val="666666"/>
          <w:sz w:val="18"/>
        </w:rPr>
        <w:t>Abdi MS et al.  ·  Front Public Health  ·  11.08.2026  ·  PMID 42643472</w:t>
      </w:r>
    </w:p>
    <w:p>
      <w:r>
        <w:t>Querschnittsbefragung von 384 Betreuungspersonen in IDP-Lagern in Mogadischu nach Diphtherie-Impfkampagne; Einflussfaktoren auf Durchimpfung wurden geprüft (2026).</w:t>
      </w:r>
    </w:p>
    <w:p>
      <w:r>
        <w:rPr>
          <w:b/>
        </w:rPr>
        <w:t xml:space="preserve">Ergebnis: </w:t>
      </w:r>
      <w:r>
        <w:t>Gesamte Impfquote 57,6 %. Höhere Impfbedenken-Scores (Vaccine Safety Concern Scale) waren mit deutlich niedrigerem Impfrisiko assoziiert (aOR 0,72, 95% CI 0,57–0,90). Schulbildung der Eltern, Vertrauen in Gesundheitsarbeiter und wahrgenommener Zugang waren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Somaliisch; zeigt, dass Sicherheitsbedenken auch bei fragilen Populationen zentral sind; Lernpunkte für Notfall-Impfkampagnen.</w:t>
      </w:r>
    </w:p>
    <w:p>
      <w:r>
        <w:rPr>
          <w:color w:val="5A7D3A"/>
          <w:sz w:val="18"/>
        </w:rPr>
        <w:t>https://pubmed.ncbi.nlm.nih.gov/42643472/</w:t>
      </w:r>
    </w:p>
    <w:p>
      <w:pPr>
        <w:pStyle w:val="Heading2"/>
      </w:pPr>
      <w:r>
        <w:t>Gesunde-Impfling-Effekt bei COVID-19-Vakzine in älteren Gruppen</w:t>
      </w:r>
    </w:p>
    <w:p>
      <w:r>
        <w:rPr>
          <w:i/>
          <w:color w:val="666666"/>
          <w:sz w:val="18"/>
        </w:rPr>
        <w:t>Lyth J et al.  ·  Nat Commun  ·  08.08.2026  ·  PMID 42570961</w:t>
      </w:r>
    </w:p>
    <w:p>
      <w:r>
        <w:t>Schwedenweite Kohortenstudie in Bevölkerung ≥65 Jahren untersuchte die Effektivität der 2024–2025 JN.1-adaptierten COVID-19-Vakzine gegen Hospitalisierung und als Negativkontrolle All-Cause-Mortalität (N=245.696, Oktober 2024–März 2025).</w:t>
      </w:r>
    </w:p>
    <w:p>
      <w:r>
        <w:rPr>
          <w:b/>
        </w:rPr>
        <w:t xml:space="preserve">Ergebnis: </w:t>
      </w:r>
      <w:r>
        <w:t>VE gegen COVID-Hospitalisierung 75 % (95% CI 70–79 %), bei Vorimpfung 2023–24 sogar 84 % (95% CI 80–87 %). Kritisch: All-Cause-Mortalität (Negativkontrolle) war in der geimpften Gruppe um 57 % niedriger (HR 0,43, 95% CI 0,40–0,45), was auf Selektionseffekte durch Frailty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Skandinavisch, vergleichbares Versorgungssystem; Befund zu Selektionsverzerrung universell relevant.</w:t>
      </w:r>
    </w:p>
    <w:p>
      <w:r>
        <w:rPr>
          <w:color w:val="5A7D3A"/>
          <w:sz w:val="18"/>
        </w:rPr>
        <w:t>https://pubmed.ncbi.nlm.nih.gov/42570961/</w:t>
      </w:r>
    </w:p>
    <w:p>
      <w:pPr>
        <w:pStyle w:val="Heading2"/>
      </w:pPr>
      <w:r>
        <w:t>Schulungskurs verbessert Wissen von Apothekern zur Impfung</w:t>
      </w:r>
    </w:p>
    <w:p>
      <w:r>
        <w:rPr>
          <w:i/>
          <w:color w:val="666666"/>
          <w:sz w:val="18"/>
        </w:rPr>
        <w:t>Waszkiewicz M et al.  ·  Med Sci Monit  ·  05.08.2026  ·  PMID 42552681</w:t>
      </w:r>
    </w:p>
    <w:p>
      <w:r>
        <w:t>Pre-post-Studie in Polen evaluierte Wissenszuwachs bei Apothekern nach Fortbildung zur Influenza- und Pneumokokken-Impfung (Februar 2024–Juli 2025).</w:t>
      </w:r>
    </w:p>
    <w:p>
      <w:r>
        <w:rPr>
          <w:b/>
        </w:rPr>
        <w:t xml:space="preserve">Ergebnis: </w:t>
      </w:r>
      <w:r>
        <w:t>Unter 327 Absolventen stieg das Testscore signifikant um 4,7 Punkte (Mdiff = –4,67, 95% CI: –4,99 bis –4,34, d = 1,55, p &lt; 0,001). Das entspricht ca. 23 % der maximalen Testscore-Steigerung und wurde als großer Effekt beurteilt.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hat Apothekern 2024 Impfkompetenz übertragen; strukturiertes Angebot seit kurzem auch in Deutschland möglich.</w:t>
      </w:r>
    </w:p>
    <w:p>
      <w:r>
        <w:rPr>
          <w:color w:val="5A7D3A"/>
          <w:sz w:val="18"/>
        </w:rPr>
        <w:t>https://pubmed.ncbi.nlm.nih.gov/42552681/</w:t>
      </w:r>
    </w:p>
    <w:p>
      <w:pPr>
        <w:pStyle w:val="Heading2"/>
      </w:pPr>
      <w:r>
        <w:t>Schulkrankenschwestern unterverimpfter Gemeinden: HPV-Impfung braucht Systemunterstützung</w:t>
      </w:r>
    </w:p>
    <w:p>
      <w:r>
        <w:rPr>
          <w:i/>
          <w:color w:val="666666"/>
          <w:sz w:val="18"/>
        </w:rPr>
        <w:t>Avermark H et al.  ·  Hum Vaccin Immunother  ·  29.07.2026  ·  PMID 42527395</w:t>
      </w:r>
    </w:p>
    <w:p>
      <w:r>
        <w:t>Qualitative Studie mit 21 Interviews von Schulkrankenschwestern in unterversorgten Stockholmer Stadtteilen zur HPV-Impfung von Jugendlichen (Juni–November 2024).</w:t>
      </w:r>
    </w:p>
    <w:p>
      <w:r>
        <w:rPr>
          <w:b/>
        </w:rPr>
        <w:t xml:space="preserve">Ergebnis: </w:t>
      </w:r>
      <w:r>
        <w:t>Drei Themen: (1) Schulkrankenschwestern tragen HPV-Impfung allein, ohne institutionelle Unterstützung; (2) Duale Verantwortung zwischen Einzelbetreuung und Public Health schafft Rollenkonflikte; (3) Schwierigkeit im Umgang mit Tabuisierung von HPV und Sexualität. Hohe Arbeitsbelastung und normative Vorstellungen zu Sex behindern Uptake.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Schulsystem und Impfprogramm; zeigt Systemdefizite bei dezentraler HPV-Angebotsumsetzung.</w:t>
      </w:r>
    </w:p>
    <w:p>
      <w:r>
        <w:rPr>
          <w:color w:val="5A7D3A"/>
          <w:sz w:val="18"/>
        </w:rPr>
        <w:t>https://pubmed.ncbi.nlm.nih.gov/42527395/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