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29.09.2026  |  5 Studien  |  impfen.m-vf.de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Wirksamkeit der Herpes-zoster-Impfung bei entzündlichen Darmerkrankungen</w:t>
      </w:r>
    </w:p>
    <w:p>
      <w:r>
        <w:rPr>
          <w:i/>
          <w:color w:val="666666"/>
          <w:sz w:val="18"/>
        </w:rPr>
        <w:t>Humayun M et al.  ·  Hum Vaccin Immunother  ·  28.09.2026  ·  PMID 42804491</w:t>
      </w:r>
    </w:p>
    <w:p>
      <w:r>
        <w:t>Matched-cohort und selbstkontrollierte Fall-Serie bei 8.485 IBD-Patienten ≥18 Jahren in Kaiser-Permanente Southern California (2018–2024) zur Effektivität und Sicherheit der rekombinanten Zoster-Impfung (RZV).</w:t>
      </w:r>
    </w:p>
    <w:p>
      <w:r>
        <w:rPr>
          <w:b/>
        </w:rPr>
        <w:t xml:space="preserve">Ergebnis: </w:t>
      </w:r>
      <w:r>
        <w:t>VE gegen Herpes zoster nach 2 RZV-Dosen: 65,4% (95%-KI 40,6–79,9%); in Colitis-Patienten 62,7%, in Morbus-Crohn-Patienten 70,2%. IBD-Schübe im 30-Tage-Fenster nach Impfung (RR 0,80) nicht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USA-Krankenversicherungsdaten, ähnliche Ausgangslage, aber starke Fragmentation möglich – für deutsche Versorgung mit Krankenkassen-Daten parallel machbar</w:t>
      </w:r>
    </w:p>
    <w:p>
      <w:r>
        <w:rPr>
          <w:color w:val="5A7D3A"/>
          <w:sz w:val="18"/>
        </w:rPr>
        <w:t>https://pubmed.ncbi.nlm.nih.gov/42804491/</w:t>
      </w:r>
    </w:p>
    <w:p>
      <w:pPr>
        <w:pStyle w:val="Heading2"/>
      </w:pPr>
      <w:r>
        <w:t>Schutzwirkung Mumps-haltiger Impfstoffe bei Kindern unter 15 Jahren in China</w:t>
      </w:r>
    </w:p>
    <w:p>
      <w:r>
        <w:rPr>
          <w:i/>
          <w:color w:val="666666"/>
          <w:sz w:val="18"/>
        </w:rPr>
        <w:t>Liu H et al.  ·  PLoS One  ·  28.09.2026  ·  PMID 42804452</w:t>
      </w:r>
    </w:p>
    <w:p>
      <w:r>
        <w:t>Matched-case-control-Studie bei 1.405 klinisch oder laborbestätigten Mumps-Fällen und 2.810 Kontrollen (2021–2025) in Taizhou, China, zur Effektivität Mumps-haltiger Impfstoffe nach Schulalter und Impfintervallen.</w:t>
      </w:r>
    </w:p>
    <w:p>
      <w:r>
        <w:rPr>
          <w:b/>
        </w:rPr>
        <w:t xml:space="preserve">Ergebnis: </w:t>
      </w:r>
      <w:r>
        <w:t>Gesamtimpfeffektivität nach ≥1 Dosis: 75,7% (95%-KI 64,8–83,2%). VE stieg mit Alter: 3–5 Jahre 55,2%, 6–11 Jahre 86,7%, ≥12 Jahre 92,9%. Einfach-Dosis-Regime: VE 80,4%; Zwei-Dosis-Periode zeigt VE nicht signifikant (durch hohe Coverage und wenige Ungeimpfte verzerrt).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Impfregister-Daten und standardisierte Falldef. übertragbar – Frage zur optimalen Dosierung international relevant</w:t>
      </w:r>
    </w:p>
    <w:p>
      <w:r>
        <w:rPr>
          <w:color w:val="5A7D3A"/>
          <w:sz w:val="18"/>
        </w:rPr>
        <w:t>https://pubmed.ncbi.nlm.nih.gov/42804452/</w:t>
      </w:r>
    </w:p>
    <w:p>
      <w:pPr>
        <w:pStyle w:val="Heading2"/>
      </w:pPr>
      <w:r>
        <w:t>Impfquoten bei HPV-Geimpften sinken bei niedriger Schulbildung und Einkommen der Eltern</w:t>
      </w:r>
    </w:p>
    <w:p>
      <w:r>
        <w:rPr>
          <w:i/>
          <w:color w:val="666666"/>
          <w:sz w:val="18"/>
        </w:rPr>
        <w:t>Appelqvist E et al.  ·  Vaccine  ·  24.10.2026  ·  PMID 42727401</w:t>
      </w:r>
    </w:p>
    <w:p>
      <w:r>
        <w:t>Schwedische Registerstudie mit 492.997 Mädchen (Jahrgänge 2002–2010) zu Faktoren der HPV-Impfquote im Schulprogramm und Catch-up-Impfungen bis Alter 19 Jahren.</w:t>
      </w:r>
    </w:p>
    <w:p>
      <w:r>
        <w:rPr>
          <w:b/>
        </w:rPr>
        <w:t xml:space="preserve">Ergebnis: </w:t>
      </w:r>
      <w:r>
        <w:t>Eltern mit niedrigem Bildungsabschluss (OR 1,3) oder niedrigem Einkommen (OR 1,9) hatten geringere Impfquoten; im Ausland geborene Mädchen oder mit im Ausland geborenen Eltern zeigten OR 1,7. Die meisten ungeimpften Mädchen erhielten später keine Catch-up-Impfung, unabhängig von Schuljahr.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Impfregister und Schulimpfprogramm, Hinweis auf Ungleichheitsachsen auch in deutschen Bundesländern ohne Register</w:t>
      </w:r>
    </w:p>
    <w:p>
      <w:r>
        <w:rPr>
          <w:color w:val="5A7D3A"/>
          <w:sz w:val="18"/>
        </w:rPr>
        <w:t>https://pubmed.ncbi.nlm.nih.gov/42727401/</w:t>
      </w:r>
    </w:p>
    <w:p>
      <w:pPr>
        <w:pStyle w:val="Heading2"/>
      </w:pPr>
      <w:r>
        <w:t>Wirksamkeit und Waning der vierten COVID-19-mRNA-Impfdosis gegen Hospitalisierung</w:t>
      </w:r>
    </w:p>
    <w:p>
      <w:r>
        <w:rPr>
          <w:i/>
          <w:color w:val="666666"/>
          <w:sz w:val="18"/>
        </w:rPr>
        <w:t>Li X et al.  ·  J Infect  ·  05.08.2026  ·  PMID 42556476</w:t>
      </w:r>
    </w:p>
    <w:p>
      <w:r>
        <w:t>Multizentrische Kohortenstudie aus UK, Niederlanden und Spanien (DARWIN EU) an 975.496 geimpften Personen ab 12 Jahren zur Effektivität der vierten Dosis gegen SARS-CoV-2-bedingte Hospitalisierung und Tod.</w:t>
      </w:r>
    </w:p>
    <w:p>
      <w:r>
        <w:rPr>
          <w:b/>
        </w:rPr>
        <w:t xml:space="preserve">Ergebnis: </w:t>
      </w:r>
      <w:r>
        <w:t>VE vierte vs. dritte Dosis gegen Tod 30% (95%-KI 9–46); gegen Hospitalisierung 26% (Spanien) bis 46% (Niederlande). Waning begann bei 4–8 Wochen. Periodische Auffrischungen wurden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Spanien, UK mit kompletten elektronischen Gesundheitsaufzeichnungen, übertragbar auf deutsche Versorgung</w:t>
      </w:r>
    </w:p>
    <w:p>
      <w:r>
        <w:rPr>
          <w:color w:val="5A7D3A"/>
          <w:sz w:val="18"/>
        </w:rPr>
        <w:t>https://pubmed.ncbi.nlm.nih.gov/42556476/</w:t>
      </w:r>
    </w:p>
    <w:p>
      <w:pPr>
        <w:pStyle w:val="Heading2"/>
      </w:pPr>
      <w:r>
        <w:t>Influenza-Impfquote und Impfskepsis bei Patienten mit Lebererkrankung in Griechenland</w:t>
      </w:r>
    </w:p>
    <w:p>
      <w:r>
        <w:rPr>
          <w:i/>
          <w:color w:val="666666"/>
          <w:sz w:val="18"/>
        </w:rPr>
        <w:t>Dafnou P et al.  ·  Gastroenterol Nurs  ·  21.07.2026  ·  PMID 42484114</w:t>
      </w:r>
    </w:p>
    <w:p>
      <w:r>
        <w:t>Querschnittstudie bei 152 Patienten mit Lebererkrankung in Griechenland (2025) zur Influenza-Impfquote, Einstellungen und Einflussfaktoren.</w:t>
      </w:r>
    </w:p>
    <w:p>
      <w:r>
        <w:rPr>
          <w:b/>
        </w:rPr>
        <w:t xml:space="preserve">Ergebnis: </w:t>
      </w:r>
      <w:r>
        <w:t>58,6% erhielten Influenza-Impfung. Prädiktoren der Impfung: höheres Alter (OR 1,07), vorangegangene Pneumokokken-Impfung (OR 17,98), COVID-19-Impfung (OR 5,77). Etwa die Hälfte ließen sich jährlich impfen. Kliniker als vertrauenswürdige Informanten könnten Quote heben.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ähnliche Gesundheitssysteme, Fokus auf vulnerable Gruppen und Beratung auch für Deutschland relevant</w:t>
      </w:r>
    </w:p>
    <w:p>
      <w:r>
        <w:rPr>
          <w:color w:val="5A7D3A"/>
          <w:sz w:val="18"/>
        </w:rPr>
        <w:t>https://pubmed.ncbi.nlm.nih.gov/42484114/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