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03.09.2026  |  6 Studien  |  impfen.m-vf.de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Grippeimpf-Bewusstsein und -Quote bei Frauen im gebärfähigen Alter in Shanghai</w:t>
      </w:r>
    </w:p>
    <w:p>
      <w:r>
        <w:rPr>
          <w:i/>
          <w:color w:val="666666"/>
          <w:sz w:val="18"/>
        </w:rPr>
        <w:t>Liu P et al.  ·  Hum Vaccin Immunother  ·  16.07.2026  ·  PMID 42684141</w:t>
      </w:r>
    </w:p>
    <w:p>
      <w:r>
        <w:t>Bevölkerungsbasierte Querschnittsstudie zur Impfbereitschaft gegen Influenza bei Frauen im Alter von 15–49 Jahren in Shanghai (Pudong), einschließlich Schwangerenszenarien.</w:t>
      </w:r>
    </w:p>
    <w:p>
      <w:r>
        <w:rPr>
          <w:b/>
        </w:rPr>
        <w:t xml:space="preserve">Ergebnis: </w:t>
      </w:r>
      <w:r>
        <w:t>Wissenswert: 60,61 % zu Influenza, 56,46 % zu Grippeimpfstoff. Gesundheitsberufe hatten höchste Kompetenz. Bei hypothetischer Schwangerschaft: Injektionspräferenz fiel von 41,25 % auf 13,31 %, Nasenspray stieg von 10,60 % auf 23,17 %, Ablehnung von 10,19 % auf 35,58 %. Schwangere bevorzugten Nasenspray (41,67 %). 87,63 % würden Empfehlungen von Frauenärzten folgen.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zeigt Muster zur Impfentscheidung in Schwangerschaft anwendbar auf deutsche Kommunikation</w:t>
      </w:r>
    </w:p>
    <w:p>
      <w:r>
        <w:rPr>
          <w:color w:val="5A7D3A"/>
          <w:sz w:val="18"/>
        </w:rPr>
        <w:t>https://pubmed.ncbi.nlm.nih.gov/42684141/</w:t>
      </w:r>
    </w:p>
    <w:p>
      <w:pPr>
        <w:pStyle w:val="Heading2"/>
      </w:pPr>
      <w:r>
        <w:t>Influenza-Impfquoten bei Ärztinnen und Pflegekräften: Deutschland und China im Vergleich</w:t>
      </w:r>
    </w:p>
    <w:p>
      <w:r>
        <w:rPr>
          <w:i/>
          <w:color w:val="666666"/>
          <w:sz w:val="18"/>
        </w:rPr>
        <w:t>Sanftenberg L et al.  ·  BMC Public Health  ·  01.09.2026  ·  PMID 42681616</w:t>
      </w:r>
    </w:p>
    <w:p>
      <w:r>
        <w:t>Vergleichende Querschnittsstudie zu psychologischen und strukturellen Barrieren für die Grippeimpfung bei Gesundheitspersonal in Deutschland (8.351 Arbeitskräfte, 72 Krankenhäuser) und China (689 Arbeitskräfte, 9 Krankenhäuser) 2024–2025.</w:t>
      </w:r>
    </w:p>
    <w:p>
      <w:r>
        <w:rPr>
          <w:b/>
        </w:rPr>
        <w:t xml:space="preserve">Ergebnis: </w:t>
      </w:r>
      <w:r>
        <w:t>Deutsche Ärzte: 80,9 % geimpft, deutsche Pflegekräfte 48,7 %; chinesische Ärzte: 28,8 %, chinesische Pflegekräfte 32,2 %. Vertrauen und Eigenverantwortung waren wichtige Treiber in beiden Ländern. Deutsche Profis nannten individuelle Gründe für Ablehnung, chinesische hingegen Hürden in der Einrichtung (Zeitmangel). Effektive Interventionen: kostenlose Impfung, Bildung, organisatorische Maßnahmen.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vergleichbares Versicherungssystem und Gesundheitsberuferegeln</w:t>
      </w:r>
    </w:p>
    <w:p>
      <w:r>
        <w:rPr>
          <w:color w:val="5A7D3A"/>
          <w:sz w:val="18"/>
        </w:rPr>
        <w:t>https://pubmed.ncbi.nlm.nih.gov/42681616/</w:t>
      </w:r>
    </w:p>
    <w:p>
      <w:pPr>
        <w:pStyle w:val="Heading2"/>
      </w:pPr>
      <w:r>
        <w:t>COVID-19-Impfung bei fortgeschrittenem Lungenkarzinom und Immuntherapie: Real-World-Daten aus Rumänien</w:t>
      </w:r>
    </w:p>
    <w:p>
      <w:r>
        <w:rPr>
          <w:i/>
          <w:color w:val="666666"/>
          <w:sz w:val="18"/>
        </w:rPr>
        <w:t>Gheorghiță V et al.  ·  Medicina (Kaunas)  ·  18.08.2026  ·  PMID 42654486</w:t>
      </w:r>
    </w:p>
    <w:p>
      <w:r>
        <w:t>Retrospektive Kohortenstudie an 139 Patienten mit Stadium-IV-Nicht-Kleinzellkarzinom, die Immun-Checkpoint-Inhibitoren erhielten, stratifiziert nach COVID-19-Impfstatus (0–1 vs. ≥2 Dosen).</w:t>
      </w:r>
    </w:p>
    <w:p>
      <w:r>
        <w:rPr>
          <w:b/>
        </w:rPr>
        <w:t xml:space="preserve">Ergebnis: </w:t>
      </w:r>
      <w:r>
        <w:t>Geimpfte Patienten: längeres progressionsfreies Überleben (13,0 vs. 11,0 Monate) und Gesamtüberleben (29,0 vs. 24,0 Monate; beide p&lt;0,001). Nach Multivariablenkalibrierung abgeschwächt, aber Grenzwertbereich (OS HR=0,83; PFS HR=0,79). ≥2 Dosen assoziiert mit besseren Ergebnissen (PFS 14,0 vs. 12,0 Monate, OS 30,0 vs. 24,0 Monate). Höhere Odds für Grad-1/2-Toxizität mit ≥2 Dosen (OR=2,47, p=0,037), aber keine Grade-4/5-Ereignisse.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Sicherheit in vulnerabler Patientengruppe mit Immuntherapie untersucht</w:t>
      </w:r>
    </w:p>
    <w:p>
      <w:r>
        <w:rPr>
          <w:color w:val="5A7D3A"/>
          <w:sz w:val="18"/>
        </w:rPr>
        <w:t>https://pubmed.ncbi.nlm.nih.gov/42654486/</w:t>
      </w:r>
    </w:p>
    <w:p>
      <w:pPr>
        <w:pStyle w:val="Heading2"/>
      </w:pPr>
      <w:r>
        <w:t>Jennerian-Vakzination in Europa (1799–1810): Transnational verbreitete Arznei und Wissen</w:t>
      </w:r>
    </w:p>
    <w:p>
      <w:r>
        <w:rPr>
          <w:i/>
          <w:color w:val="666666"/>
          <w:sz w:val="18"/>
        </w:rPr>
        <w:t>Tuells J  ·  Vaccine  ·  17.09.2026  ·  PMID 42600246</w:t>
      </w:r>
    </w:p>
    <w:p>
      <w:r>
        <w:t>Historische Studie zur frühen Verbreitung der Kuhpockenvakzination in Europa durch ein Netzwerk von Ärzten, anhand von Korrespondenz und Materialflüssen zwischen London, Wien und Genf.</w:t>
      </w:r>
    </w:p>
    <w:p>
      <w:r>
        <w:rPr>
          <w:b/>
        </w:rPr>
        <w:t xml:space="preserve">Ergebnis: </w:t>
      </w:r>
      <w:r>
        <w:t>Jean de Carro, ein Genfer Arzt in Wien, fungierte als Vermittler für die Verbreitung von Vakzinationswissen und Impfstoff-Lymphe. Das Netzwerk ermöglichte die rasche Ausbreitung von 1799 bis 1810 in Richtung Ottomanisches Reich und Indien. Vakzination verbreitete sich nicht allein durch staatliche Kampagnen, sondern durch transnationale ärztliche Netzwerke.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Historische Perspektive auf Vakzinationsverbreitung durch Netzwerke und persönliche Verbindungen</w:t>
      </w:r>
    </w:p>
    <w:p>
      <w:r>
        <w:rPr>
          <w:color w:val="5A7D3A"/>
          <w:sz w:val="18"/>
        </w:rPr>
        <w:t>https://pubmed.ncbi.nlm.nih.gov/42600246/</w:t>
      </w:r>
    </w:p>
    <w:p>
      <w:pPr>
        <w:pStyle w:val="Heading2"/>
      </w:pPr>
      <w:r>
        <w:t>Mütterliche Sechsfach-Streptococcus-B-Impfung: Phase-1/2-Studie bei nicht-schwangeren und schwangeren Frauen</w:t>
      </w:r>
    </w:p>
    <w:p>
      <w:r>
        <w:rPr>
          <w:i/>
          <w:color w:val="666666"/>
          <w:sz w:val="18"/>
        </w:rPr>
        <w:t>Madhi SA et al.  ·  Nat Med  ·  28.07.2026  ·  PMID 42521820</w:t>
      </w:r>
    </w:p>
    <w:p>
      <w:r>
        <w:t>Randomisierte Phase-1/2-Studie zur Sicherheit, Verträglichkeit und Immunogenität einer hexavalenten Polysaccharid-Protein-Konjugat-GBS-Vakzine (GBS6) in nicht-schwangeren Frauen und schwangeren Frauen sowie deren Neugeborenen.</w:t>
      </w:r>
    </w:p>
    <w:p>
      <w:r>
        <w:rPr>
          <w:b/>
        </w:rPr>
        <w:t xml:space="preserve">Ergebnis: </w:t>
      </w:r>
      <w:r>
        <w:t>Stadium 1 (n=66 nicht-schwanger): GBS6, GBS6+AlPO4 oder Placebo. Subgruppe erhielt Booster ~2 Jahre später. Stadium 3 (n=216 schwanger, 209 Neugeborene): GBS6 oder Placebo (Woche 24–36 Schwangerschaft). Fast alle Reaktogenizität-Ereignisse mild oder moderat. SAE/MAE ähnlich zwischen GBS6 und Placebo bei Müttern und Neugeborenen. GBS6 induzierte robuste Immunantworten; serotyp-spezifische Antikörper in Neugeborenen, deren Mütter GBS6 erhielten. Zwei neonatale Sepsis-Todesfälle (je einer in GBS6 und Placebo), keiner als vakzine-bedingt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Südafrika, USA, UK – erste klinische Daten zu maternaler GBS-Vakzination für neonatalen Schutz</w:t>
      </w:r>
    </w:p>
    <w:p>
      <w:r>
        <w:rPr>
          <w:color w:val="5A7D3A"/>
          <w:sz w:val="18"/>
        </w:rPr>
        <w:t>https://pubmed.ncbi.nlm.nih.gov/42521820/</w:t>
      </w:r>
    </w:p>
    <w:p>
      <w:pPr>
        <w:pStyle w:val="Heading2"/>
      </w:pPr>
      <w:r>
        <w:t>Hochdosis-Grippeimpfstoff in Spanien: Einführung, Anwendung und Evidenz</w:t>
      </w:r>
    </w:p>
    <w:p>
      <w:r>
        <w:rPr>
          <w:i/>
          <w:color w:val="666666"/>
          <w:sz w:val="18"/>
        </w:rPr>
        <w:t>Sanz-Muñoz I et al.  ·  Front Immunol  ·  30.06.2026  ·  PMID 42454050</w:t>
      </w:r>
    </w:p>
    <w:p>
      <w:r>
        <w:t>Narrative Synthese der klinischen Evidenz und Analyse von Vakzinierungsstrategien in spanischen autonomen Gemeinschaften seit Einführung von Hochdosis-Grippeimpfstoffen während der COVID-19-Pandemie.</w:t>
      </w:r>
    </w:p>
    <w:p>
      <w:r>
        <w:rPr>
          <w:b/>
        </w:rPr>
        <w:t xml:space="preserve">Ergebnis: </w:t>
      </w:r>
      <w:r>
        <w:t>Hochdosis-Grippeimpfstoffe zeigen überlegene Effektivität gegen schwere Influenza, Lungenentzündung und Mortalität bei Erwachsenen ≥60 Jahren in randomisierten Studien und Real-World-Daten. Heterogene regionale Aufnahme: manche Regionen priorisierten Institutionalisierte, andere erweiterten auf Community-Bewohner ≥60 Jahre. Trend zu breiter Adoption und Senkung des Altersgrenzwerts.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 Gesundheitssysteme in Europa und Altersstruktur-Problematik</w:t>
      </w:r>
    </w:p>
    <w:p>
      <w:r>
        <w:rPr>
          <w:color w:val="5A7D3A"/>
          <w:sz w:val="18"/>
        </w:rPr>
        <w:t>https://pubmed.ncbi.nlm.nih.gov/42454050/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