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Praevention</w:t>
      </w:r>
    </w:p>
    <w:p>
      <w:r>
        <w:rPr>
          <w:i/>
          <w:color w:val="666666"/>
          <w:sz w:val="18"/>
        </w:rPr>
        <w:t>Stand: 20.10.2026  |  6 Studien  |  impfen.m-vf.de</w:t>
      </w:r>
    </w:p>
    <w:p>
      <w:pPr>
        <w:pStyle w:val="Heading1"/>
      </w:pPr>
      <w:r>
        <w:t>Aufgenommen am 20.10.2026</w:t>
      </w:r>
    </w:p>
    <w:p>
      <w:pPr>
        <w:pStyle w:val="Heading2"/>
      </w:pPr>
      <w:r>
        <w:t>Kosteneffektivität der RSV-mRNA-Impfung für Ältere in Italien</w:t>
      </w:r>
    </w:p>
    <w:p>
      <w:r>
        <w:rPr>
          <w:i/>
          <w:color w:val="666666"/>
          <w:sz w:val="18"/>
        </w:rPr>
        <w:t>Dronova M et al.  ·  J Med Econ  ·  19.10.2026  ·  PMID 42895511</w:t>
      </w:r>
    </w:p>
    <w:p>
      <w:r>
        <w:t>Health-Technology-Assessment mit Entscheidungsmodell zur RSV-Impfung (mRNA-1345, Einzeldosis) gegenüber Nichtimpfung bei Italienern ≥60 Jahren mit chronischen Erkrankungen und allen ≥75-Jährigen über 5 Jahre.</w:t>
      </w:r>
    </w:p>
    <w:p>
      <w:r>
        <w:rPr>
          <w:b/>
        </w:rPr>
        <w:t xml:space="preserve">Ergebnis: </w:t>
      </w:r>
      <w:r>
        <w:t>RSV-Impfung hätte über 5 Jahre 19.800 Krankenhauseinweisungen, 6.000 Todesfälle und 212.000 Antibiotikaverordnungen verhindert. Inkrementelle Kosten: 1.143 Mio. €, Gesundheitsgewinn: 47.477 QALYs, ICER 24.078 €/QALY (unterhalb der Kostenschwelle von 33.000–40.000 €/QALY). Ergebnis robust in Sensitivitätsanalysen.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Sozialversicherungssystem, vergleichbar mit deutschem System.</w:t>
      </w:r>
    </w:p>
    <w:p>
      <w:r>
        <w:rPr>
          <w:color w:val="5A7D3A"/>
          <w:sz w:val="18"/>
        </w:rPr>
        <w:t>https://pubmed.ncbi.nlm.nih.gov/42895511/</w:t>
      </w:r>
    </w:p>
    <w:p>
      <w:pPr>
        <w:pStyle w:val="Heading2"/>
      </w:pPr>
      <w:r>
        <w:t>CAR-T-Kinetik und Tumormerkmale sagen Therapieerfolg bei B-Zell-Lymphomen voraus</w:t>
      </w:r>
    </w:p>
    <w:p>
      <w:r>
        <w:rPr>
          <w:i/>
          <w:color w:val="666666"/>
          <w:sz w:val="18"/>
        </w:rPr>
        <w:t>Schadt J et al.  ·  Front Immunol  ·  02.10.2026  ·  PMID 42890243</w:t>
      </w:r>
    </w:p>
    <w:p>
      <w:r>
        <w:t>Prospektive Studie mit 92 B-Zell-Patienten unter CAR-T-Therapie in Dresden; mechanistisches Modell der CAR-T- und Tumor-Interaktion zur Vorhersage von Rückfällen.</w:t>
      </w:r>
    </w:p>
    <w:p>
      <w:r>
        <w:rPr>
          <w:b/>
        </w:rPr>
        <w:t xml:space="preserve">Ergebnis: </w:t>
      </w:r>
      <w:r>
        <w:t>Vier Phasen der CAR-T-Kinetik identifiziert (Verteilung, Expansion, Kontraktion, Persistenz). Schwache Expansion oder tiefe Kontraktion sind Rückfallzeichen. Das Modell erklärt individuelle Kinetik, scheitert aber bei Outcome-Prognose mit einheitlichen Tumorparametern. Gleiche CAR-T-Dynamik kann aus unterschiedlichen Tumorfaktoren resultieren; Blutmarker wie LDH oder Ann-Arbor-Score helfen nicht zur Risikostratifizierung.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einzelne Universitätsklinik, begrenzte Übertragbarkeit auf Routineversorgung.</w:t>
      </w:r>
    </w:p>
    <w:p>
      <w:r>
        <w:rPr>
          <w:color w:val="5A7D3A"/>
          <w:sz w:val="18"/>
        </w:rPr>
        <w:t>https://pubmed.ncbi.nlm.nih.gov/42890243/</w:t>
      </w:r>
    </w:p>
    <w:p>
      <w:pPr>
        <w:pStyle w:val="Heading2"/>
      </w:pPr>
      <w:r>
        <w:t>RSV-Impfeffektivität bei älteren Erwachsenen mit Immunsuppression: Dänische Praxisstudie</w:t>
      </w:r>
    </w:p>
    <w:p>
      <w:r>
        <w:rPr>
          <w:i/>
          <w:color w:val="666666"/>
          <w:sz w:val="18"/>
        </w:rPr>
        <w:t>Reimer Jensen AM et al.  ·  Lancet Healthy Longev  ·  06.10.2026  ·  PMID 42838078</w:t>
      </w:r>
    </w:p>
    <w:p>
      <w:r>
        <w:t>Pragmatische randomisierte Studie in Dänemark (November-Dezember 2024) zur Wirksamkeit einer RSV-Prefusion-F-Impfung bei Erwachsenen ≥60 Jahren mit und ohne Immunsuppression.</w:t>
      </w:r>
    </w:p>
    <w:p>
      <w:r>
        <w:rPr>
          <w:b/>
        </w:rPr>
        <w:t xml:space="preserve">Ergebnis: </w:t>
      </w:r>
      <w:r>
        <w:t>Bei 131.276 Teilnehmern zeigte sich insgesamt eine Impfeffektivität von 83,3% (95%-KI 42,9–96,9) gegen RSV-bedingte Krankenhauseinweisungen. Bei Immunsupprimierten (n=5.199) lag die Effektivität bei 60,5% (95%-KI -141,4–96,2), bei nicht Immunsupprimierten bei 92,3% (95%-KI 48,7–99,8); kein signifikanter Unterschied zwischen Gruppen (p=0,22). Immunsupprimierte hatten neunfach höhere Erkrankungsrate ohne Impfung (4,68 vs. 0,50 pro 1000 Personenjahre).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nationale Registerdaten, vergleichbare Struktur zu deutschen Krankenhauserfassungen.</w:t>
      </w:r>
    </w:p>
    <w:p>
      <w:r>
        <w:rPr>
          <w:color w:val="5A7D3A"/>
          <w:sz w:val="18"/>
        </w:rPr>
        <w:t>https://pubmed.ncbi.nlm.nih.gov/42838078/</w:t>
      </w:r>
    </w:p>
    <w:p>
      <w:pPr>
        <w:pStyle w:val="Heading2"/>
      </w:pPr>
      <w:r>
        <w:t>CAR-T vs. autologe Stammzelltransplantation bei Lymphom: deutsche Kostenstudie</w:t>
      </w:r>
    </w:p>
    <w:p>
      <w:r>
        <w:rPr>
          <w:i/>
          <w:color w:val="666666"/>
          <w:sz w:val="18"/>
        </w:rPr>
        <w:t>Froitzheim AC et al.  ·  J Cancer Res Clin Oncol  ·  30.09.2026  ·  PMID 42823558</w:t>
      </w:r>
    </w:p>
    <w:p>
      <w:r>
        <w:t>Zweistufige Analyse deutscher Krankenversicherungsdaten (2020–2023) und stationärer Aufnahmen zu Kosten und Nutzung von CAR-T vs. autologe Stammzelltransplantation bei DLBCL.</w:t>
      </w:r>
    </w:p>
    <w:p>
      <w:r>
        <w:rPr>
          <w:b/>
        </w:rPr>
        <w:t xml:space="preserve">Ergebnis: </w:t>
      </w:r>
      <w:r>
        <w:t>12 CAR-T vs. 59 autoSCT: Initiale Regime-Kosten 61.703 € (CAR-T) vs. 55.802 € (autoSCT); Folgekosten 44.832 € vs. 69.453 €. Stationär: durchschnittliche Verweildauer vergleichbar (27,3 vs. 27,8 Tage), CAR-T günstiger (13.991 € vs. 29.432 €). Unerwünschte Ereignisse: B-Zell-Aplasie/Neutropenie häufiger bei CAR-T (77% vs. 64%).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Abrechnungsdaten Krankenkassen und DRG-Statistik, vollständig übertragbar.</w:t>
      </w:r>
    </w:p>
    <w:p>
      <w:r>
        <w:rPr>
          <w:color w:val="5A7D3A"/>
          <w:sz w:val="18"/>
        </w:rPr>
        <w:t>https://pubmed.ncbi.nlm.nih.gov/42823558/</w:t>
      </w:r>
    </w:p>
    <w:p>
      <w:pPr>
        <w:pStyle w:val="Heading2"/>
      </w:pPr>
      <w:r>
        <w:t>Deutsche Rheumatologen bewerten CAR-T und T-cell engager kritisch</w:t>
      </w:r>
    </w:p>
    <w:p>
      <w:r>
        <w:rPr>
          <w:i/>
          <w:color w:val="666666"/>
          <w:sz w:val="18"/>
        </w:rPr>
        <w:t>Meinecke A et al.  ·  Rheumatol Int  ·  26.09.2026  ·  PMID 42799770</w:t>
      </w:r>
    </w:p>
    <w:p>
      <w:r>
        <w:t>Web-basierte Befragung von 98 deutschen Rheumatologen (Median 43 Jahre, 46,3% universitär tätig) zu Wissen, Haltung und Barrieren gegenüber T-Zell-umgerichteten Therapien (TCRTs).</w:t>
      </w:r>
    </w:p>
    <w:p>
      <w:r>
        <w:rPr>
          <w:b/>
        </w:rPr>
        <w:t xml:space="preserve">Ergebnis: </w:t>
      </w:r>
      <w:r>
        <w:t>94,8% verweisen gerne an spezialisierte Zentren, halten aber nur 5% ihrer Patienten für geeignet (schwere, therapierefraktäre Bindegewebserkrankungen). Hauptbarrieren: hohe Kosten (82%), begrenzte klinische Erfahrung (65,5%), Anwendbarkeit auf wenige Patienten (35,4%). Sicherheitswissen gut, Selbsteinschätzung des TCRT-Wissens aber nur Median 4,86/10 Punkte.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nationale Fachgesellschaft, direkt repräsentativ für deutsche Rheumatologie.</w:t>
      </w:r>
    </w:p>
    <w:p>
      <w:r>
        <w:rPr>
          <w:color w:val="5A7D3A"/>
          <w:sz w:val="18"/>
        </w:rPr>
        <w:t>https://pubmed.ncbi.nlm.nih.gov/42799770/</w:t>
      </w:r>
    </w:p>
    <w:p>
      <w:pPr>
        <w:pStyle w:val="Heading2"/>
      </w:pPr>
      <w:r>
        <w:t>Basale B-Zellzahl und IL-6 sagen Zytokinfreisetzungssyndrom nach CAR-T voraus</w:t>
      </w:r>
    </w:p>
    <w:p>
      <w:r>
        <w:rPr>
          <w:i/>
          <w:color w:val="666666"/>
          <w:sz w:val="18"/>
        </w:rPr>
        <w:t>Chan SCW et al.  ·  Lancet Rheumatol  ·  25.09.2026  ·  PMID 42790438</w:t>
      </w:r>
    </w:p>
    <w:p>
      <w:r>
        <w:t>Retrospektive Kohortenstudie an 6 deutschen und 1 chinesischen Zentrum mit 108 Autoimmunpatienten unter autologer CAR-T-Therapie (CD19-Zielzellen); Identifikation von Biomarkern für Cytokine-Release-Syndrome (CRS).</w:t>
      </w:r>
    </w:p>
    <w:p>
      <w:r>
        <w:rPr>
          <w:b/>
        </w:rPr>
        <w:t xml:space="preserve">Ergebnis: </w:t>
      </w:r>
      <w:r>
        <w:t>80% (86/108) entwickelten CRS (66% Grad 1, 13% Grad 2, 1% Grad 3). CRS-Patienten hatten signifikant höhere Ausgangs-B-Zellzahlen (43 vs. 6 Zellen/μL, p=0,0002), IL-6 (10 vs. 3 pg/ml, p=0,0003) und CRP (5 vs. 3 mg/L, p=0,042). Multivariates Modell: B-Zellzahl (OR 1,31, 95%-KI 1,06–1,67, p=0,012) und IL-6 (OR 2,28, 95%-KI 1,30–4,65, p=0,0001) prädiktorisch.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Multizenterstudie, direkt übertragbar auf deutsche CAR-T-Praxis.</w:t>
      </w:r>
    </w:p>
    <w:p>
      <w:r>
        <w:rPr>
          <w:color w:val="5A7D3A"/>
          <w:sz w:val="18"/>
        </w:rPr>
        <w:t>https://pubmed.ncbi.nlm.nih.gov/42790438/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Praevention</dc:title>
  <dc:subject/>
  <dc:creator>Monitor Versorgungsforschung</dc:creator>
  <cp:keywords/>
  <dc:description>generated by python-docx</dc:description>
  <cp:lastModifiedBy/>
  <cp:revision>1</cp:revision>
  <dcterms:created xsi:type="dcterms:W3CDTF">2026-10-20T06:00:00Z</dcterms:created>
  <dcterms:modified xsi:type="dcterms:W3CDTF">2026-10-20T06:00:00Z</dcterms:modified>
  <cp:category/>
</cp:coreProperties>
</file>