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Impfen und Impfpraevention</w:t>
      </w:r>
    </w:p>
    <w:p>
      <w:r>
        <w:rPr>
          <w:i/>
          <w:color w:val="666666"/>
          <w:sz w:val="18"/>
        </w:rPr>
        <w:t>Stand: 01.10.2026  |  7 Studien  |  impfen.m-vf.de</w:t>
      </w:r>
    </w:p>
    <w:p>
      <w:pPr>
        <w:pStyle w:val="Heading1"/>
      </w:pPr>
      <w:r>
        <w:t>Aufgenommen am 01.10.2026</w:t>
      </w:r>
    </w:p>
    <w:p>
      <w:pPr>
        <w:pStyle w:val="Heading2"/>
      </w:pPr>
      <w:r>
        <w:t>Impfprogramme in Konfliktzonen: intrinsischer, instrumentaler und symbolischer Wert</w:t>
      </w:r>
    </w:p>
    <w:p>
      <w:r>
        <w:rPr>
          <w:i/>
          <w:color w:val="666666"/>
          <w:sz w:val="18"/>
        </w:rPr>
        <w:t>Sabahelzain MM et al.  ·  Hum Vaccin Immunother  ·  30.09.2026  ·  PMID 42814974</w:t>
      </w:r>
    </w:p>
    <w:p>
      <w:r>
        <w:t>Qualitative Analyse, welche die Werte von Impfprogrammen in humanitären Krisen aus ethischer Perspektive untersucht und plädiert für deren Verstetigung als Frage der Gerechtigkeit.</w:t>
      </w:r>
    </w:p>
    <w:p>
      <w:r>
        <w:rPr>
          <w:b/>
        </w:rPr>
        <w:t xml:space="preserve">Ergebnis: </w:t>
      </w:r>
      <w:r>
        <w:t>Die Autoren argumentieren, dass Impfungen in Konfliktzonen über die Notfallreaktion hinaus als intrinsisch wertvoll (Menschenrecht auf Gesundheit), instrumentell wertvoll (Krankheitsvorbeugung) und symbolisch wertvoll (Vertrauenszeichen des Staates) anzusehen sind. Diese dreifache Wertigkeit rechtfertigt die Priorisierung ihrer Verstetigung zur Stärkung der Gesundheitssystemresilienz.</w:t>
      </w:r>
    </w:p>
    <w:p>
      <w:r>
        <w:rPr>
          <w:b/>
          <w:sz w:val="19"/>
        </w:rPr>
        <w:t xml:space="preserve">Übertragbarkeit: </w:t>
      </w:r>
      <w:r>
        <w:rPr>
          <w:sz w:val="19"/>
        </w:rPr>
        <w:t>Qualitatives Konzeptpapier; Übertragbarkeit hängt von nationalen Impfkalender und Sicherheitslage ab.</w:t>
      </w:r>
    </w:p>
    <w:p>
      <w:r>
        <w:rPr>
          <w:color w:val="5A7D3A"/>
          <w:sz w:val="18"/>
        </w:rPr>
        <w:t>https://pubmed.ncbi.nlm.nih.gov/42814974/</w:t>
      </w:r>
    </w:p>
    <w:p>
      <w:pPr>
        <w:pStyle w:val="Heading2"/>
      </w:pPr>
      <w:r>
        <w:t>Tollwutpostexpositionsprophylaxe im Iran: Registerdaten und Adhärenz</w:t>
      </w:r>
    </w:p>
    <w:p>
      <w:r>
        <w:rPr>
          <w:i/>
          <w:color w:val="666666"/>
          <w:sz w:val="18"/>
        </w:rPr>
        <w:t>Babaee E et al.  ·  PLoS Negl Trop Dis  ·  30.09.2026  ·  PMID 42814726</w:t>
      </w:r>
    </w:p>
    <w:p>
      <w:r>
        <w:t>Sekundäranalyse von 507.404 Tierbissvorfällen aus dem iranischen Tollwut-Impfregister (März 2022 – September 2023) zur Dokumentation der Adhärenz zu Impf- und Immunglobulin-Richtlinien.</w:t>
      </w:r>
    </w:p>
    <w:p>
      <w:r>
        <w:rPr>
          <w:b/>
        </w:rPr>
        <w:t xml:space="preserve">Ergebnis: </w:t>
      </w:r>
      <w:r>
        <w:t>73,6% Männer; häufigste Altersgruppe 31–40 Jahre (19,8%). Hunde verursachten 76,2%, Katzen 20,8% der Expositionen. Höchste Inzidenz in Nordprovinzen (North Khorasan 773/100.000, Golestan 767/100.000 Einwohner). Wundreinigung dokumentiert bei 94,3%; erste Impfdosis innerhalb 48 h bei 96,4%. Gesamte Impfserie: 68,1% erhielten drei Dosen, 24,2% vier. Immunglobulin wurde bei 95,6% der Kategorie-III-Expositionen gegeben, aber auch unangemessen bei Kategorie I (6,1%) und II (4,7%). Bei Fledermauskontakt nur 36,8% als Kategorie III klassifiziert und 38,7% mit Immunglobulin versorgt.</w:t>
      </w:r>
    </w:p>
    <w:p>
      <w:r>
        <w:rPr>
          <w:b/>
          <w:sz w:val="19"/>
        </w:rPr>
        <w:t xml:space="preserve">Übertragbarkeit: </w:t>
      </w:r>
      <w:r>
        <w:rPr>
          <w:sz w:val="19"/>
        </w:rPr>
        <w:t>Iran, Registerdaten; mittlere Übertragbarkeit auf Deutschland (unterschiedliche epidemiologische Lage).</w:t>
      </w:r>
    </w:p>
    <w:p>
      <w:r>
        <w:rPr>
          <w:color w:val="5A7D3A"/>
          <w:sz w:val="18"/>
        </w:rPr>
        <w:t>https://pubmed.ncbi.nlm.nih.gov/42814726/</w:t>
      </w:r>
    </w:p>
    <w:p>
      <w:pPr>
        <w:pStyle w:val="Heading2"/>
      </w:pPr>
      <w:r>
        <w:t>Auditive Nebenwirkungen und COVID-19-Impfung: Signalbewertung im US-VAERS</w:t>
      </w:r>
    </w:p>
    <w:p>
      <w:r>
        <w:rPr>
          <w:i/>
          <w:color w:val="666666"/>
          <w:sz w:val="18"/>
        </w:rPr>
        <w:t>Wu J et al.  ·  Front Public Health  ·  15.09.2026  ·  PMID 42812531</w:t>
      </w:r>
    </w:p>
    <w:p>
      <w:r>
        <w:t>Unterbrochene Zeitreihenanalyse von US-VAERS-Daten (2018–2025) zur Frage, ob Meldungen auditorischer Nebenwirkungen nach COVID-19-Impf-Zulassung zunahmen und ob dies einen echten Sicherheitssignal oder Meldeverzerrung widerspiegelt.</w:t>
      </w:r>
    </w:p>
    <w:p>
      <w:r>
        <w:rPr>
          <w:b/>
        </w:rPr>
        <w:t xml:space="preserve">Ergebnis: </w:t>
      </w:r>
      <w:r>
        <w:t>Von 1.347.820 Berichten betrafen 27.750 auditorische Nebenwirkungen. Nach der COVID-19-Zulassung stiegen Meldungsraten an (β=2.317,4, 95%-KI 1.079,1–3.555,6; p&lt;0,001). Quasi-Poisson-Modelle zeigten IRR von 5,62–7,36 (p≤0,015). Effekt war heterogen nach Alter: stark bei 18–64 Jahren (p=0,010) und ≥65 Jahren (p=0,0004), nicht signifikant &lt;18 Jahren (p=0,67). Dermatologie-Sentinel (Kontrolle) zeigte keine Änderung (IRR 1,09, p=0,83). Auditorische Nebenwirkungen waren in COVID-19-Berichten häufiger (2,42%) als Influenza (0,88%) oder andere Impfstoffe (0,84%).</w:t>
      </w:r>
    </w:p>
    <w:p>
      <w:r>
        <w:rPr>
          <w:b/>
          <w:sz w:val="19"/>
        </w:rPr>
        <w:t xml:space="preserve">Übertragbarkeit: </w:t>
      </w:r>
      <w:r>
        <w:rPr>
          <w:sz w:val="19"/>
        </w:rPr>
        <w:t>US-Passive-Surveillance-Daten; Übertragbarkeit auf Deutschland eingeschränkt (anderes Meldesystem).</w:t>
      </w:r>
    </w:p>
    <w:p>
      <w:r>
        <w:rPr>
          <w:color w:val="5A7D3A"/>
          <w:sz w:val="18"/>
        </w:rPr>
        <w:t>https://pubmed.ncbi.nlm.nih.gov/42812531/</w:t>
      </w:r>
    </w:p>
    <w:p>
      <w:pPr>
        <w:pStyle w:val="Heading2"/>
      </w:pPr>
      <w:r>
        <w:t>Reaktogenität mRNA- vs. proteinbasierter COVID-19-Impfstoffe 2023–2024: BEEHIVE-Studie</w:t>
      </w:r>
    </w:p>
    <w:p>
      <w:r>
        <w:rPr>
          <w:i/>
          <w:color w:val="666666"/>
          <w:sz w:val="18"/>
        </w:rPr>
        <w:t>Yoon SK et al.  ·  Hum Vaccin Immunother  ·  29.09.2026  ·  PMID 42811742</w:t>
      </w:r>
    </w:p>
    <w:p>
      <w:r>
        <w:t>Doppelblinde randomisierte Studie (NCT06065176) vergleicht Reaktogenität von Novavax (Protein) mit Pfizer-BioNTech (mRNA) XBB.1.5-Impfstoff bei Personen mit ≥2 vorherigen mRNA-Dosen.</w:t>
      </w:r>
    </w:p>
    <w:p>
      <w:r>
        <w:rPr>
          <w:b/>
        </w:rPr>
        <w:t xml:space="preserve">Ergebnis: </w:t>
      </w:r>
      <w:r>
        <w:t>Novavax (n=448) vs. Pfizer (n=453): Am Tag 1 berichteten signifikant weniger Novavax-Empfänger systemische Reaktogenität (62,1% vs. 75,7%; Risikodifferenz −13,7%, 95%-KI −19,6% bis −7,7%, p&lt;0,0001) und lokale Reaktionen (81,0% vs. 92,7%; Risikodifferenz −11,7%, 95%-KI −16,0% bis −7,3%, p&lt;0,0001). Mittlere Ereigniszahl pro Person am Tag 1 und 2 signifikant niedriger für Novavax (je p&lt;0,0001). Die meisten Ereignisse waren mild. Am Tag 6 hatten &gt;80% bzw. &gt;94% keine systemischen oder lokalen Reaktionen.</w:t>
      </w:r>
    </w:p>
    <w:p>
      <w:r>
        <w:rPr>
          <w:b/>
          <w:sz w:val="19"/>
        </w:rPr>
        <w:t xml:space="preserve">Übertragbarkeit: </w:t>
      </w:r>
      <w:r>
        <w:rPr>
          <w:sz w:val="19"/>
        </w:rPr>
        <w:t>USA-Studie, aber primär Sicherheitsfrage – übertragbar auf Deutsche Zulassungsbewertung.</w:t>
      </w:r>
    </w:p>
    <w:p>
      <w:r>
        <w:rPr>
          <w:color w:val="5A7D3A"/>
          <w:sz w:val="18"/>
        </w:rPr>
        <w:t>https://pubmed.ncbi.nlm.nih.gov/42811742/</w:t>
      </w:r>
    </w:p>
    <w:p>
      <w:pPr>
        <w:pStyle w:val="Heading2"/>
      </w:pPr>
      <w:r>
        <w:t>Hybridimmunität gegen SARS-CoV-2: Langzeitdynamik bei Angehörigen der Gesundheitsberufe</w:t>
      </w:r>
    </w:p>
    <w:p>
      <w:r>
        <w:rPr>
          <w:i/>
          <w:color w:val="666666"/>
          <w:sz w:val="18"/>
        </w:rPr>
        <w:t>Tekinsoy M et al.  ·  Viruses  ·  19.09.2026  ·  PMID 42797871</w:t>
      </w:r>
    </w:p>
    <w:p>
      <w:r>
        <w:t>Vierjährige Kohortenstudie (2020–Juni 2024) von Gesundheitsarbeitern, die zwischen Hybrid- (Infektion + Impfung) und reiner Impfimmunität unterscheidet und Antikörperhaltbarkeit bewertet.</w:t>
      </w:r>
    </w:p>
    <w:p>
      <w:r>
        <w:rPr>
          <w:b/>
        </w:rPr>
        <w:t xml:space="preserve">Ergebnis: </w:t>
      </w:r>
      <w:r>
        <w:t>142 Personen mit Längsdaten (1180 Tage Nachverfolgung): 66,2% erlebten mindestens eine Durchbruchinfektion, 14,1% zwei. Anti-N-Antikörper sanken nach Infektion 2,3-fach zwischen Monat 3 und 6; Seropositiv-Rate fiel von 82% auf 40,4% (Median bis Seronegatitivät: 179 Tage). Hybridimmunität mit zwei Dosen hatte Anti-S-IgG und sVNT-Titer vergleichbar mit drei reinen Impfungen. Dritte Dosis verstärkte Anti-S-Persistenz signifikant nach 9 Monaten.</w:t>
      </w:r>
    </w:p>
    <w:p>
      <w:r>
        <w:rPr>
          <w:b/>
          <w:sz w:val="19"/>
        </w:rPr>
        <w:t xml:space="preserve">Übertragbarkeit: </w:t>
      </w:r>
      <w:r>
        <w:rPr>
          <w:sz w:val="19"/>
        </w:rPr>
        <w:t>Deutschland, vergleichbare Gesundheitssettings, aber COVID-Spezifik.</w:t>
      </w:r>
    </w:p>
    <w:p>
      <w:r>
        <w:rPr>
          <w:color w:val="5A7D3A"/>
          <w:sz w:val="18"/>
        </w:rPr>
        <w:t>https://pubmed.ncbi.nlm.nih.gov/42797871/</w:t>
      </w:r>
    </w:p>
    <w:p>
      <w:pPr>
        <w:pStyle w:val="Heading2"/>
      </w:pPr>
      <w:r>
        <w:t>Pneumokokkenimpfstoffe (PCV15/PCV20) gegen PCV13 im UK-Impfplan: Studienprotokoll</w:t>
      </w:r>
    </w:p>
    <w:p>
      <w:r>
        <w:rPr>
          <w:i/>
          <w:color w:val="666666"/>
          <w:sz w:val="18"/>
        </w:rPr>
        <w:t>Aslam R et al.  ·  BMJ Open  ·  22.09.2026  ·  PMID 42772879</w:t>
      </w:r>
    </w:p>
    <w:p>
      <w:r>
        <w:t>Randomisierte Studie zur Nicht-Unterlegenheit von PCV15 und PCV20 gegenüber PCV13 bei 600 Säuglingen im britischen 1+1- und 2+1-Impfschema.</w:t>
      </w:r>
    </w:p>
    <w:p>
      <w:r>
        <w:rPr>
          <w:b/>
        </w:rPr>
        <w:t xml:space="preserve">Ergebnis: </w:t>
      </w:r>
      <w:r>
        <w:t>Studienprotokoll ohne Ergebnisse; primärer Endpunkt ist Nicht-Unterlegenheit der PCV13-Serotpyen-spezifischen Antikörperresponses nach PCV15/PCV20 vs. PCV13. Sekundär werden Trägerschaft und Schleimhaut-IgG gemessen. Rekrutierung abgeschlossen (600 Patienten randomisiert).</w:t>
      </w:r>
    </w:p>
    <w:p>
      <w:r>
        <w:rPr>
          <w:b/>
          <w:sz w:val="19"/>
        </w:rPr>
        <w:t xml:space="preserve">Übertragbarkeit: </w:t>
      </w:r>
      <w:r>
        <w:rPr>
          <w:sz w:val="19"/>
        </w:rPr>
        <w:t>UK-Impfplan, europäisches Gesundheitssystem, vergleichbare Versorgungsstruktur.</w:t>
      </w:r>
    </w:p>
    <w:p>
      <w:r>
        <w:rPr>
          <w:color w:val="5A7D3A"/>
          <w:sz w:val="18"/>
        </w:rPr>
        <w:t>https://pubmed.ncbi.nlm.nih.gov/42772879/</w:t>
      </w:r>
    </w:p>
    <w:p>
      <w:pPr>
        <w:pStyle w:val="Heading2"/>
      </w:pPr>
      <w:r>
        <w:t>Adipositas schwächt Antikörperantwort nach Grippeimpfung: deutsche Explorationsstudie</w:t>
      </w:r>
    </w:p>
    <w:p>
      <w:r>
        <w:rPr>
          <w:i/>
          <w:color w:val="666666"/>
          <w:sz w:val="18"/>
        </w:rPr>
        <w:t>Böll S et al.  ·  BMC Immunol  ·  10.09.2026  ·  PMID 42760530</w:t>
      </w:r>
    </w:p>
    <w:p>
      <w:r>
        <w:t>Deutsche Kohortenstudie untersucht, ob Adipositas die humorale und zelluläre Immunantwort nach Influenzaimpfung beeinträchtigt.</w:t>
      </w:r>
    </w:p>
    <w:p>
      <w:r>
        <w:rPr>
          <w:b/>
        </w:rPr>
        <w:t xml:space="preserve">Ergebnis: </w:t>
      </w:r>
      <w:r>
        <w:t>Kleine Stichprobe (n=25: 18 normalgewichtig, 7 adipös) über 9 Monate. Nach Impfung stiegen Antikörpertiter in beiden Gruppen an und blieben erhöht. Bei normalgewichtigen Personen unterschieden sich alle vier Antikörper signifikant über die Besuche; bei adipösen Personen nur zwei. Adipöse zeigten abnehmende Treg-Anteile (nicht signifikant) und keine klaren Gruppenunterschiede in T-Zell-Zahl. Autoren betonen, dass die Stichprobengröße explorativ ist; größere Studien sind notwendig.</w:t>
      </w:r>
    </w:p>
    <w:p>
      <w:r>
        <w:rPr>
          <w:b/>
          <w:sz w:val="19"/>
        </w:rPr>
        <w:t xml:space="preserve">Übertragbarkeit: </w:t>
      </w:r>
      <w:r>
        <w:rPr>
          <w:sz w:val="19"/>
        </w:rPr>
        <w:t>Deutsche Klinikdaten, aber kleine Stichprobe – Ergebnisse sind vorläufig.</w:t>
      </w:r>
    </w:p>
    <w:p>
      <w:r>
        <w:rPr>
          <w:color w:val="5A7D3A"/>
          <w:sz w:val="18"/>
        </w:rPr>
        <w:t>https://pubmed.ncbi.nlm.nih.gov/42760530/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Impfen und Impfpraevention</dc:title>
  <dc:subject/>
  <dc:creator>Monitor Versorgungsforschung</dc:creator>
  <cp:keywords/>
  <dc:description>generated by python-docx</dc:description>
  <cp:lastModifiedBy/>
  <cp:revision>1</cp:revision>
  <dcterms:created xsi:type="dcterms:W3CDTF">2026-10-01T06:00:00Z</dcterms:created>
  <dcterms:modified xsi:type="dcterms:W3CDTF">2026-10-01T06:00:00Z</dcterms:modified>
  <cp:category/>
</cp:coreProperties>
</file>