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05.10.2026  |  6 Studien  |  impfen.m-vf.de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Torque-Teno-Virus-Viruslast verbessert Vorhersage der SARS-CoV-2-Serokonversion bei Nierentransplantation</w:t>
      </w:r>
    </w:p>
    <w:p>
      <w:r>
        <w:rPr>
          <w:i/>
          <w:color w:val="666666"/>
          <w:sz w:val="18"/>
        </w:rPr>
        <w:t>Hermida E et al.  ·  Clin Transplant  ·  Okt. 2026  ·  PMID 42829947</w:t>
      </w:r>
    </w:p>
    <w:p>
      <w:r>
        <w:t>Prospektive Kohortenstudie in argentinischen Nierentransplantierten (KTPs) zur Vorhersage der Serokonversion nach COVID-19-Impfung mittels TTV-Viruslast und klinischer Variablen.</w:t>
      </w:r>
    </w:p>
    <w:p>
      <w:r>
        <w:rPr>
          <w:b/>
        </w:rPr>
        <w:t xml:space="preserve">Ergebnis: </w:t>
      </w:r>
      <w:r>
        <w:t>Serokonversionsraten: 16,9% nach vollständiger Impfung, 21,9% nach einer Auffrischung, 55,5% nach zwei Auffrischungen. TTV-Viruslast allein zeigte bescheidene Vorhersagekraft (AUC 0,634). Ein erweitertes Modell mit TTV + klinischen/Impfvariablen verbesserte die Vorhersage erheblich (AUC 0,814) mit NPV 90,0%. Multifaktorielle Ansätze können Impfstrategien bei immungeschwächten Patienten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Argentinien, Transplantationsmedizin, Modellansatz auf deutsche Zentren übertragbar</w:t>
      </w:r>
    </w:p>
    <w:p>
      <w:r>
        <w:rPr>
          <w:color w:val="5A7D3A"/>
          <w:sz w:val="18"/>
        </w:rPr>
        <w:t>https://pubmed.ncbi.nlm.nih.gov/42829947/</w:t>
      </w:r>
    </w:p>
    <w:p>
      <w:pPr>
        <w:pStyle w:val="Heading2"/>
      </w:pPr>
      <w:r>
        <w:t>WHO-Fragebogen zu Verhaltensfaktoren bei Grippeimpfung validiert in Australien</w:t>
      </w:r>
    </w:p>
    <w:p>
      <w:r>
        <w:rPr>
          <w:i/>
          <w:color w:val="666666"/>
          <w:sz w:val="18"/>
        </w:rPr>
        <w:t>Sabahelzain MM et al.  ·  Hum Vaccin Immunother  ·  04.10.2026  ·  PMID 42829802</w:t>
      </w:r>
    </w:p>
    <w:p>
      <w:r>
        <w:t>Validierungsstudie des WHO-BeSD-Fragebogens zu sozialen und verhaltensbezogenen Treibern der Grippeimpfung in Australien mit kognitiven Interviews und psychometrischer Analyse.</w:t>
      </w:r>
    </w:p>
    <w:p>
      <w:r>
        <w:rPr>
          <w:b/>
        </w:rPr>
        <w:t xml:space="preserve">Ergebnis: </w:t>
      </w:r>
      <w:r>
        <w:t>Nach kognitiven Interviews mit 16 Erwachsenen wurden 9 von 31 Items überarbeitet. Psychometrische Auswertung von 2055 Respondenten identifizierte 5 Faktoren (Denken/Fühlen, soziale Prozesse, Motivation, praktische Fragen). Jedes Item korrelierte mit Impfintention, besonders Items zu wahrgenommener Impfwichtigkeit und sozialer Verantwortung. Fragebogen validiert, weitere Tests in verschiedenen Kontexten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ähnlicher Versorgungskontext, Fragebogen-Tool transferierbar</w:t>
      </w:r>
    </w:p>
    <w:p>
      <w:r>
        <w:rPr>
          <w:color w:val="5A7D3A"/>
          <w:sz w:val="18"/>
        </w:rPr>
        <w:t>https://pubmed.ncbi.nlm.nih.gov/42829802/</w:t>
      </w:r>
    </w:p>
    <w:p>
      <w:pPr>
        <w:pStyle w:val="Heading2"/>
      </w:pPr>
      <w:r>
        <w:t>Türkische Eltern in den USA berichten Barrieren in der Impfaufklärung und Vertrauenslücken</w:t>
      </w:r>
    </w:p>
    <w:p>
      <w:r>
        <w:rPr>
          <w:i/>
          <w:color w:val="666666"/>
          <w:sz w:val="18"/>
        </w:rPr>
        <w:t>Çelik E et al.  ·  Front Public Health  ·  18.09.2026  ·  PMID 42827996</w:t>
      </w:r>
    </w:p>
    <w:p>
      <w:r>
        <w:t>Qualitative Interviewstudie mit 13 türkischen Migranteneltern in den USA zur Aufklärung und informed consent für Kinderimpfungen bei verpflichtender Schuleinschulung.</w:t>
      </w:r>
    </w:p>
    <w:p>
      <w:r>
        <w:rPr>
          <w:b/>
        </w:rPr>
        <w:t xml:space="preserve">Ergebnis: </w:t>
      </w:r>
      <w:r>
        <w:t>Vier Hauptthemen: (1) technische Sprache und Verständnisschwierigkeiten; (2) fehlende ethische Kompetenz in der klinischen Kommunikation; (3) Impfmandate verschieben Aufklärung zu bloßer Compliance; (4) Eltern suchen eigenständig religiöse und Zutat-Informationen, da klinische Beratung diese nicht abdeckt. Formale religiöse Leitlinien in USA wenig bekannt, anders als in muslimischen Ländern mit koordinierter Anleitung.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USA-Kontext, aber Befunde zu Informationsgap und Sprachbarrieren für Deutschland relevant</w:t>
      </w:r>
    </w:p>
    <w:p>
      <w:r>
        <w:rPr>
          <w:color w:val="5A7D3A"/>
          <w:sz w:val="18"/>
        </w:rPr>
        <w:t>https://pubmed.ncbi.nlm.nih.gov/42827996/</w:t>
      </w:r>
    </w:p>
    <w:p>
      <w:pPr>
        <w:pStyle w:val="Heading2"/>
      </w:pPr>
      <w:r>
        <w:t>Impfquoten und Impfeinstellungen unterscheiden sich stark zwischen Stadt und Land in Polen</w:t>
      </w:r>
    </w:p>
    <w:p>
      <w:r>
        <w:rPr>
          <w:i/>
          <w:color w:val="666666"/>
          <w:sz w:val="18"/>
        </w:rPr>
        <w:t>Stefanicka-Wojtas D et al.  ·  Front Public Health  ·  18.09.2026  ·  PMID 42827868</w:t>
      </w:r>
    </w:p>
    <w:p>
      <w:r>
        <w:t>Querschnittsstudie in drei polnischen Hausarztpraxen (Großstadt, Kleinstadt, ländlich) zur Impfbereitschaft, selbstberichteten Nebenwirkungen und Determinanten der Grippeimpfung.</w:t>
      </w:r>
    </w:p>
    <w:p>
      <w:r>
        <w:rPr>
          <w:b/>
        </w:rPr>
        <w:t xml:space="preserve">Ergebnis: </w:t>
      </w:r>
      <w:r>
        <w:t>Impfquoten unterschieden sich deutlich nach Wohnort (p&lt;0,001): 100% im ländlichen Zentrum vs. 73–76% in städtischen Zentren. Selbstberichtete Nebenwirkungen waren selten auf dem Land (7,1%), am häufigsten in der Großstadt (20,0%, p&lt;0,001). In adjustierten Modellen: frühere Infektionserfahrung und respiratorische Komorbiditäten hingen mit höheren Odds für Grippe- (OR 11,0; 3,9) und COVID-19-Impfung (OR 3,6; 2,8) zusammen. Dies zeigt, dass Vertrauen in Gesundheitssystem und Informationsverfügbarkeit stark variieren und lokale Kommunikationsstrategien nötig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Primärversorgungssystem, direkt vergleichbar mit Deutschland</w:t>
      </w:r>
    </w:p>
    <w:p>
      <w:r>
        <w:rPr>
          <w:color w:val="5A7D3A"/>
          <w:sz w:val="18"/>
        </w:rPr>
        <w:t>https://pubmed.ncbi.nlm.nih.gov/42827868/</w:t>
      </w:r>
    </w:p>
    <w:p>
      <w:pPr>
        <w:pStyle w:val="Heading2"/>
      </w:pPr>
      <w:r>
        <w:t>Mütterliche RSV-Impfung schützt Säuglinge vor schweren Atemwegsinfektionen – Metaanalyse</w:t>
      </w:r>
    </w:p>
    <w:p>
      <w:r>
        <w:rPr>
          <w:i/>
          <w:color w:val="666666"/>
          <w:sz w:val="18"/>
        </w:rPr>
        <w:t>Kucukbas Ozonder GN et al.  ·  Front Public Health  ·  18.09.2026  ·  PMID 42827513</w:t>
      </w:r>
    </w:p>
    <w:p>
      <w:r>
        <w:t>Systematische Übersicht und Metaanalyse von 24 Studien (9 RCTs, 15 Beobachtungsstudien) zur Wirksamkeit maternaler RSV-Impfung gegen Säuglings-Bronchiolitis.</w:t>
      </w:r>
    </w:p>
    <w:p>
      <w:r>
        <w:rPr>
          <w:b/>
        </w:rPr>
        <w:t xml:space="preserve">Ergebnis: </w:t>
      </w:r>
      <w:r>
        <w:t>Gepoolte Impfeffektivität gegen RSV-assoziierte Krankenhauseinweisung 79,7% (95% KI 73,9–84,2) in den ersten 3 Monaten, 68,1% (57,1–76,3) bis 6 Monate. Randomisierte Effizienz gegen schwere RSV-LRTI 70%, gegen ärztlich behandelte RSV-LRTI 51,5% (36,3–63,1). Preterm-Geburten modest erhöht in RCTs (RR 1,17), aber Signal nicht robust. Evidenzsicherheit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Randomisierte und reale Daten zeigen Übereinstimmung, international übertragbar</w:t>
      </w:r>
    </w:p>
    <w:p>
      <w:r>
        <w:rPr>
          <w:color w:val="5A7D3A"/>
          <w:sz w:val="18"/>
        </w:rPr>
        <w:t>https://pubmed.ncbi.nlm.nih.gov/42827513/</w:t>
      </w:r>
    </w:p>
    <w:p>
      <w:pPr>
        <w:pStyle w:val="Heading2"/>
      </w:pPr>
      <w:r>
        <w:t>Psychologische Faktoren bei Impfskepsis: Neuer Fragebogen zur Messung (PF-HBQ)</w:t>
      </w:r>
    </w:p>
    <w:p>
      <w:r>
        <w:rPr>
          <w:i/>
          <w:color w:val="666666"/>
          <w:sz w:val="18"/>
        </w:rPr>
        <w:t>De Biase R et al.  ·  Front Public Health  ·  18.09.2026  ·  PMID 42827459</w:t>
      </w:r>
    </w:p>
    <w:p>
      <w:r>
        <w:t>Psychometrische Entwicklung und Validierung des Psychological Factors in Healthcare Behavior Questionnaire (PF-HBQ) zur Erfassung psychologischer Einflussfaktoren auf Impfentscheidungen.</w:t>
      </w:r>
    </w:p>
    <w:p>
      <w:r>
        <w:rPr>
          <w:b/>
        </w:rPr>
        <w:t xml:space="preserve">Ergebnis: </w:t>
      </w:r>
      <w:r>
        <w:t>Zwei Studien: Study 1 (N=472) bestätigte 9 psychologische Faktoren (Misstrauen, Distress, Extraversion, Offenheit, Prokrastination, depressive Symptome, posttraumatische Symptome, zwanghafte Züge, emotionale Stabilität) mit guter Reliabilität. Study 2 (N=192) zeigte signifikante Unterschiede zwischen Impfskeptikern und Nicht-Skeptikern. PF-HBQ ist zuverlässiges Werkzeug zur Charakterisierung psychologischer Profile bei Impfentscheidungen.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psychometrisches Instrument, kulturübergreifend adaptierbar</w:t>
      </w:r>
    </w:p>
    <w:p>
      <w:r>
        <w:rPr>
          <w:color w:val="5A7D3A"/>
          <w:sz w:val="18"/>
        </w:rPr>
        <w:t>https://pubmed.ncbi.nlm.nih.gov/42827459/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