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24.09.2026  |  6 Studien  |  kardio.m-vf.de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Orale Hormontherapie erhöht thrombotische Ereignisse in der Menopause deutlich</w:t>
      </w:r>
    </w:p>
    <w:p>
      <w:r>
        <w:rPr>
          <w:i/>
          <w:color w:val="666666"/>
          <w:sz w:val="18"/>
        </w:rPr>
        <w:t>Berggreen J et al.  ·  BMJ  ·  23.09.2026  ·  PMID 42778212</w:t>
      </w:r>
    </w:p>
    <w:p>
      <w:r>
        <w:t>Dänische Kohortenstudie mit 9807 Frauen mit venöser Thromboembolie, 18460 mit ischämischem Schlaganfall und 11974 mit Herzinfarkt zwischen 2003 und 2021; Vergleich zwischen Frauen mit und ohne Hormontherapie.</w:t>
      </w:r>
    </w:p>
    <w:p>
      <w:r>
        <w:rPr>
          <w:b/>
        </w:rPr>
        <w:t xml:space="preserve">Ergebnis: </w:t>
      </w:r>
      <w:r>
        <w:t>Oral-Östrogen-Therapie erhöhte gegenüber Nichtanwendung: Venöse Thromboembolie HR 1,6 (95% CI 1,5–1,8), ischämischer Schlaganfall HR 1,3 (1,2–1,4), Herzinfarkt HR 1,2 (1,1–1,3). Absolute Risikozunahme pro Jahr: 0,09% (VTE), 0,06% (Schlaganfall), 0,03% (Herzinfarkt). Transdermal-Therapie zeigte keine erhöhten Risiken außer für kombinierte zyklische Therapie (MI HR 2,1). Die Risiken stiegen mit Dosis (&gt;1 mg/Tag) und Dauer (&gt;5 Jahre).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Registerdaten, europäischer Sozialversicherungskontext, direkt übertragbar</w:t>
      </w:r>
    </w:p>
    <w:p>
      <w:r>
        <w:rPr>
          <w:color w:val="5A7D3A"/>
          <w:sz w:val="18"/>
        </w:rPr>
        <w:t>https://pubmed.ncbi.nlm.nih.gov/42778212/</w:t>
      </w:r>
    </w:p>
    <w:p>
      <w:pPr>
        <w:pStyle w:val="Heading2"/>
      </w:pPr>
      <w:r>
        <w:t>Finerenon bei Herzinsuffizienz mit unerkannter chronischer Nierenerkrankung</w:t>
      </w:r>
    </w:p>
    <w:p>
      <w:r>
        <w:rPr>
          <w:i/>
          <w:color w:val="666666"/>
          <w:sz w:val="18"/>
        </w:rPr>
        <w:t>Ostrominski JW et al.  ·  JAMA Cardiol  ·  23.09.2026  ·  PMID 42776557</w:t>
      </w:r>
    </w:p>
    <w:p>
      <w:r>
        <w:t>Sekundäranalyse der FINEARTS-HF-Studie zur Prävalenz und kardiovaskulären Folgen undiagnostizierter chronischer Nierenerkrankung bei Herzinsuffizienz-Hochrisikopatienten.</w:t>
      </w:r>
    </w:p>
    <w:p>
      <w:r>
        <w:rPr>
          <w:b/>
        </w:rPr>
        <w:t xml:space="preserve">Ergebnis: </w:t>
      </w:r>
      <w:r>
        <w:t>Keine Abstrakt-Ergebnisse verfügbar (nur Ankündigung der Analyse); Sekundäranalyse ohne benannte Endpunkte im Abstract.</w:t>
      </w:r>
    </w:p>
    <w:p>
      <w:r>
        <w:rPr>
          <w:color w:val="5A7D3A"/>
          <w:sz w:val="18"/>
        </w:rPr>
        <w:t>https://pubmed.ncbi.nlm.nih.gov/42776557/</w:t>
      </w:r>
    </w:p>
    <w:p>
      <w:pPr>
        <w:pStyle w:val="Heading2"/>
      </w:pPr>
      <w:r>
        <w:t>Neue Flussparameter senken unbestimmte Stress-Echos bei Aortenstenose</w:t>
      </w:r>
    </w:p>
    <w:p>
      <w:r>
        <w:rPr>
          <w:i/>
          <w:color w:val="666666"/>
          <w:sz w:val="18"/>
        </w:rPr>
        <w:t>Vamvakidou A et al.  ·  Circ Cardiovasc Imaging  ·  23.09.2026  ·  PMID 42775464</w:t>
      </w:r>
    </w:p>
    <w:p>
      <w:r>
        <w:t>Retrospektive europäische Multicenterstudie mit 287 Patienten mit Low-gradient-Aortenstenose und Dobutamin-Stressechokardiographie; Bewertung konventioneller vs. neuer transvalvulärer Flusskriterien.</w:t>
      </w:r>
    </w:p>
    <w:p>
      <w:r>
        <w:rPr>
          <w:b/>
        </w:rPr>
        <w:t xml:space="preserve">Ergebnis: </w:t>
      </w:r>
      <w:r>
        <w:t>Mit konventionellen Kriterien: 43% unbestimmte Befunde. Mit neuen Flusskriterien sank dieser Anteil auf 9%. Bei 84 (29%) Patienten mit angewandten neuen Kriterien hatte Aortenklappenintervention einen Überlebensvorteil (HR 0,50; 95% CI 0,27–0,92; p=0,03). Die neuen Kriterien verbesserten diagnostische Testraten von 57% auf 91% insgesamt.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Multi-nationale europäische Studie, vergleichbare Leitlinien und Echokardiographie-Standards</w:t>
      </w:r>
    </w:p>
    <w:p>
      <w:r>
        <w:rPr>
          <w:color w:val="5A7D3A"/>
          <w:sz w:val="18"/>
        </w:rPr>
        <w:t>https://pubmed.ncbi.nlm.nih.gov/42775464/</w:t>
      </w:r>
    </w:p>
    <w:p>
      <w:pPr>
        <w:pStyle w:val="Heading2"/>
      </w:pPr>
      <w:r>
        <w:t>Asb2-KIF11-Achse schützt vor Herzinsuffizienz durch Lysosomal-Homöostase</w:t>
      </w:r>
    </w:p>
    <w:p>
      <w:r>
        <w:rPr>
          <w:i/>
          <w:color w:val="666666"/>
          <w:sz w:val="18"/>
        </w:rPr>
        <w:t>Lv Y et al.  ·  Circulation  ·  22.09.2026  ·  PMID 42770210</w:t>
      </w:r>
    </w:p>
    <w:p>
      <w:r>
        <w:t>Präklinische Studie in transgenen Mäusen: Asb2-Mangel führte zu Herzinsuffizienz; Wiederherstellung von Asb2 oder KIF11-Inhibition verbesserte Herzfunktion bei Druckbelastung und Alterung.</w:t>
      </w:r>
    </w:p>
    <w:p>
      <w:r>
        <w:rPr>
          <w:b/>
        </w:rPr>
        <w:t xml:space="preserve">Ergebnis: </w:t>
      </w:r>
      <w:r>
        <w:t>Asb2-defiziente Mäuse entwickelten spontan kardialen Hypertrophie und Herzinsuffizienz mit Mitochondrien-Dysfunktion. Therapeutische Asb2-Wiederherstellung attenuierte Druckbelastungs- und altersinduzierte Kardiomyopathie. Sowohl genetische als auch pharmakologische KIF11-Inhibition besserte pathologisches kardialen Remodeling in Asb2-defizienten Herzen und TAC-induzierter 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Mausmodell, Grundlagen-Zielstruktur KIF11, noch klinisch nicht gestestet</w:t>
      </w:r>
    </w:p>
    <w:p>
      <w:r>
        <w:rPr>
          <w:color w:val="5A7D3A"/>
          <w:sz w:val="18"/>
        </w:rPr>
        <w:t>https://pubmed.ncbi.nlm.nih.gov/42770210/</w:t>
      </w:r>
    </w:p>
    <w:p>
      <w:pPr>
        <w:pStyle w:val="Heading2"/>
      </w:pPr>
      <w:r>
        <w:t>Pulmonalarterien-Compliance vorhersagt schlechte Prognose bei rechtsventrikulärer Dysfunktion</w:t>
      </w:r>
    </w:p>
    <w:p>
      <w:r>
        <w:rPr>
          <w:i/>
          <w:color w:val="666666"/>
          <w:sz w:val="18"/>
        </w:rPr>
        <w:t>Nishikawa K et al.  ·  Open Heart  ·  21.09.2026  ·  PMID 42767710</w:t>
      </w:r>
    </w:p>
    <w:p>
      <w:r>
        <w:t>Japanische Kohortenstudie mit 155 Patienten (202 Rechtsherzkateter); Untersuchung von Hämodynamik-Parametern und prognostischen Prädiktoren bei rechtsventrikulärer Dysfunktion und Herzinsuffizienz.</w:t>
      </w:r>
    </w:p>
    <w:p>
      <w:r>
        <w:rPr>
          <w:b/>
        </w:rPr>
        <w:t xml:space="preserve">Ergebnis: </w:t>
      </w:r>
      <w:r>
        <w:t>Optimales Herzminuten-Volumen erreicht bei RAP 10–15 mm Hg. Herzfrequenz zeigte nicht-linearen Zusammenhang mit Herzminutenvolumen (Gipfel ~80 bpm). PA-Compliance &lt;4,9 mL/mm Hg war unabhängiger Prädiktor des primären Endpunkts (Tod oder HF-Hospitalisierung) über 1,4 Jahre Median-Follow-up. RAP &gt;10 mm Hg war in univariaten, nicht aber multivariaten Analysen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Japan-Kohorte, physiologische Parameter übertragbar auf deutsches Katheter-Setting</w:t>
      </w:r>
    </w:p>
    <w:p>
      <w:r>
        <w:rPr>
          <w:color w:val="5A7D3A"/>
          <w:sz w:val="18"/>
        </w:rPr>
        <w:t>https://pubmed.ncbi.nlm.nih.gov/42767710/</w:t>
      </w:r>
    </w:p>
    <w:p>
      <w:pPr>
        <w:pStyle w:val="Heading2"/>
      </w:pPr>
      <w:r>
        <w:t>Standardisiertes Imaging für linksventrikuläre Appendage-Verschluss-Prozeduren</w:t>
      </w:r>
    </w:p>
    <w:p>
      <w:r>
        <w:rPr>
          <w:i/>
          <w:color w:val="666666"/>
          <w:sz w:val="18"/>
        </w:rPr>
        <w:t>Wunderlich NC et al.  ·  EuroIntervention  ·  07.09.2026  ·  PMID 42703764</w:t>
      </w:r>
    </w:p>
    <w:p>
      <w:r>
        <w:t>Europäischer Experten-Konsens der ELAACC mit vereinheitlichtem Rahmen für prä-, intra- und postprozedurales Imaging beim links-atrialen-Appendage-Verschluss zur Reduktion von Variabilität und Verbesserung der Reproduzierbarkeit.</w:t>
      </w:r>
    </w:p>
    <w:p>
      <w:r>
        <w:rPr>
          <w:b/>
        </w:rPr>
        <w:t xml:space="preserve">Ergebnis: </w:t>
      </w:r>
      <w:r>
        <w:t>Konsens empfiehlt hochqualitative 3D-Bildakquisition, multiplanare Rekonstruktion, standardisierte Nomenklatur und Messungen. Prä-prozedural: 3D-Bildgebung und Measurements. Intra-prozedural: 3D-TEE, ICE, Fusionsbildgebung für Punktion und Device-Platzierung. Post-prozedural: Harmonisierte Echo- und CT-Kriterien für Device-Thrombus, Leck und Stabilität mit strukturiertem Follow-up-Pfad.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Expertengruppe, deutsches Versorgungssystem beteiligt, unmittelbar umsetzbar</w:t>
      </w:r>
    </w:p>
    <w:p>
      <w:r>
        <w:rPr>
          <w:color w:val="5A7D3A"/>
          <w:sz w:val="18"/>
        </w:rPr>
        <w:t>https://pubmed.ncbi.nlm.nih.gov/42703764/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2026-09-24T06:00:00Z</dcterms:created>
  <dcterms:modified xsi:type="dcterms:W3CDTF">2026-09-24T06:00:00Z</dcterms:modified>
  <cp:category/>
</cp:coreProperties>
</file>