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03.10.2026  |  6 Studien  |  kardio.m-vf.de</w:t>
      </w:r>
    </w:p>
    <w:p>
      <w:pPr>
        <w:pStyle w:val="Heading1"/>
      </w:pPr>
      <w:r>
        <w:t>Aufgenommen am 03.10.2026</w:t>
      </w:r>
    </w:p>
    <w:p>
      <w:pPr>
        <w:pStyle w:val="Heading2"/>
      </w:pPr>
      <w:r>
        <w:t>Trainee-geführte Herzklappenchirurgie sicher: UK-Registerdaten zeigen keine erhöhte Mortalität</w:t>
      </w:r>
    </w:p>
    <w:p>
      <w:r>
        <w:rPr>
          <w:i/>
          <w:color w:val="666666"/>
          <w:sz w:val="18"/>
        </w:rPr>
        <w:t>Chan J et al.  ·  Open Heart  ·  01.10.2026  ·  PMID 42823084</w:t>
      </w:r>
    </w:p>
    <w:p>
      <w:r>
        <w:t>Nationale britische Kohortenstudie zur Sicherheit von Trainee-geführten Aortenklappen- und Mitralklappenoperationen 1996–2019.</w:t>
      </w:r>
    </w:p>
    <w:p>
      <w:r>
        <w:rPr>
          <w:b/>
        </w:rPr>
        <w:t xml:space="preserve">Ergebnis: </w:t>
      </w:r>
      <w:r>
        <w:t>Von 96.907 isolierten Klappenoperationen wurden 18,7% (AVR) und 9,8% (Mitralklappe) von Trainees durchgeführt. Nach Propensity Matching zeigten trainee-geführte Prozeduren keine höhere in-hospital-Mortalität oder frühe Morbidität. Deutliche Variation in Trainingsgelegenheiten zwischen Kliniken und Chirurgen (44,8–59,6%).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UK-Gesundheitssystem, nationale Qualitätsdatenbank, strukturiertes Trainingsumfeld übertragbar</w:t>
      </w:r>
    </w:p>
    <w:p>
      <w:r>
        <w:rPr>
          <w:color w:val="5A7D3A"/>
          <w:sz w:val="18"/>
        </w:rPr>
        <w:t>https://pubmed.ncbi.nlm.nih.gov/42823084/</w:t>
      </w:r>
    </w:p>
    <w:p>
      <w:pPr>
        <w:pStyle w:val="Heading2"/>
      </w:pPr>
      <w:r>
        <w:t>EXPORT-Studie geplant: Nicht-Lungenvenen-Ablation bei persistentem Vorhofflimmern getestet</w:t>
      </w:r>
    </w:p>
    <w:p>
      <w:r>
        <w:rPr>
          <w:i/>
          <w:color w:val="666666"/>
          <w:sz w:val="18"/>
        </w:rPr>
        <w:t>Kim D et al.  ·  Am Heart J  ·  01.10.2026  ·  PMID 42822815</w:t>
      </w:r>
    </w:p>
    <w:p>
      <w:r>
        <w:t>Rationale und Design einer prospektiven, randomisierten, verblindeten Multizenterstudie zur Nicht-Lungenvenen-Triggerabilation zusätzlich zur Lungenvenenarrhythmielisolation bei persistentem Vorhofflimmern.</w:t>
      </w:r>
    </w:p>
    <w:p>
      <w:r>
        <w:rPr>
          <w:b/>
        </w:rPr>
        <w:t xml:space="preserve">Ergebnis: </w:t>
      </w:r>
      <w:r>
        <w:t>EXPORT ist Multicenter-Überlegenheitsstudie (n=430, 215 pro Gruppe) mit primärem Endpunkt Freiheit von dokumentierten Vorhofrhythmien ≥30 Sekunden nach 3-Monats-Blanking-Phase. Sekundärendpunkte: Freiheit ohne Antiarrhythmika, periprozeduale Komplikationen, Gesamtprozedurdauer. Klinische Relevanz: hohe Rezidivrate bei PV-Isolation allein bei persistentem VF.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prospektives RCT-Design, Ablationstechnik weltweit etabliert</w:t>
      </w:r>
    </w:p>
    <w:p>
      <w:r>
        <w:rPr>
          <w:color w:val="5A7D3A"/>
          <w:sz w:val="18"/>
        </w:rPr>
        <w:t>https://pubmed.ncbi.nlm.nih.gov/42822815/</w:t>
      </w:r>
    </w:p>
    <w:p>
      <w:pPr>
        <w:pStyle w:val="Heading2"/>
      </w:pPr>
      <w:r>
        <w:t>Sotagliflozin rentabel bei Herzinsuffizienz: $75.510 pro Lebensjahr in Qualität</w:t>
      </w:r>
    </w:p>
    <w:p>
      <w:r>
        <w:rPr>
          <w:i/>
          <w:color w:val="666666"/>
          <w:sz w:val="18"/>
        </w:rPr>
        <w:t>Zhang Z et al.  ·  Am J Cardiol  ·  30.09.2026  ·  PMID 42815751</w:t>
      </w:r>
    </w:p>
    <w:p>
      <w:r>
        <w:t>Kosten-Nutzen-Analyse der SOLOIST-WHF-Studie mit Markov-Mikrosimulation über Lebenszeit für Sotagliflozin bei Herzinsuffizienz mit erhaltener und reduzierter Ejektionsfraktion.</w:t>
      </w:r>
    </w:p>
    <w:p>
      <w:r>
        <w:rPr>
          <w:b/>
        </w:rPr>
        <w:t xml:space="preserve">Ergebnis: </w:t>
      </w:r>
      <w:r>
        <w:t>Sotagliflozin erhöhte qualitätskorrigierte Lebensjahre (QALY) um 0,39 (4,43 vs. 4,04) und Lebenserwartung um 0,64 Jahre (7,12 vs. 6,48 Jahre) mit inkrementellem Kostenaufwand von $29.449 (95% UI: $26.610–$32.528), ICER $75.510/QALY (UI: $55.640–$98.300). Bei HFpEF ICER $71.135/QALY, bei HFrEF $87.635/QALY.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US-Healthcare-Payer-Perspektive; Medikamentenkosten möglicherweise anderswertig; Effizienzaussage schwerpunktunabhängig</w:t>
      </w:r>
    </w:p>
    <w:p>
      <w:r>
        <w:rPr>
          <w:color w:val="5A7D3A"/>
          <w:sz w:val="18"/>
        </w:rPr>
        <w:t>https://pubmed.ncbi.nlm.nih.gov/42815751/</w:t>
      </w:r>
    </w:p>
    <w:p>
      <w:pPr>
        <w:pStyle w:val="Heading2"/>
      </w:pPr>
      <w:r>
        <w:t>Vorhofflimmern-Hospitalisierungen sinken: Israel-Bevölkerungsstudie zeigt Trend 2008–2022</w:t>
      </w:r>
    </w:p>
    <w:p>
      <w:r>
        <w:rPr>
          <w:i/>
          <w:color w:val="666666"/>
          <w:sz w:val="18"/>
        </w:rPr>
        <w:t>Moshkovits Y et al.  ·  Int J Cardiol  ·  30.09.2026  ·  PMID 42815583</w:t>
      </w:r>
    </w:p>
    <w:p>
      <w:r>
        <w:t>Bevölkerungsbasierte Studie von 12.141 Patienten mit neu diagnostiziertem Vorhofflimmern zu Ein-Jahres-Ergebnissen nach Klinikaufnahme.</w:t>
      </w:r>
    </w:p>
    <w:p>
      <w:r>
        <w:rPr>
          <w:b/>
        </w:rPr>
        <w:t xml:space="preserve">Ergebnis: </w:t>
      </w:r>
      <w:r>
        <w:t>Mortalität blieb stabil bei 11,3% (adjustierte RR pro Jahr: 1,01; 95% KI 0,99–1,02). Gesamthospitalisierungsrate sank von 61,6% (adjustierte RR 2008/2009 vs. 2020/2021: 0,87; 95% KI 0,79–0,95). VF-spezifische Readmissionen fielen deutlicher (19,2%, adjustierte RR: 0,24; 95% KI 0,22–0,26). Jüngere Patienten (&lt;70 Jahre) profitierten stärker.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Israel-Krankenversicherungssystem ähnlich europäischen Sozialversicherungen, längere Beobachtung</w:t>
      </w:r>
    </w:p>
    <w:p>
      <w:r>
        <w:rPr>
          <w:color w:val="5A7D3A"/>
          <w:sz w:val="18"/>
        </w:rPr>
        <w:t>https://pubmed.ncbi.nlm.nih.gov/42815583/</w:t>
      </w:r>
    </w:p>
    <w:p>
      <w:pPr>
        <w:pStyle w:val="Heading2"/>
      </w:pPr>
      <w:r>
        <w:t>Nicht-TTN-Genmutationen bei dilatativer Kardiomyopathie: höheres Fibroserisiko und schlechtere Prognose</w:t>
      </w:r>
    </w:p>
    <w:p>
      <w:r>
        <w:rPr>
          <w:i/>
          <w:color w:val="666666"/>
          <w:sz w:val="18"/>
        </w:rPr>
        <w:t>Li Y et al.  ·  JACC Cardiovasc Imaging  ·  28.09.2026  ·  PMID 42814072</w:t>
      </w:r>
    </w:p>
    <w:p>
      <w:r>
        <w:t>Prospektive Kohortenstudie von 837 Patienten mit dilatativer Kardiomyopathie zu Genotyp-Phänotyp-Assoziationen und Langzeitergebnissen mittels Ganzgenomsequenzierung und Herzmagnetresonanztomographie.</w:t>
      </w:r>
    </w:p>
    <w:p>
      <w:r>
        <w:rPr>
          <w:b/>
        </w:rPr>
        <w:t xml:space="preserve">Ergebnis: </w:t>
      </w:r>
      <w:r>
        <w:t>Von 837 Patienten trugen 163 (19,5%) pathogene Varianten: 78 nicht-TTN, 85 TTN. Nicht-TTN-Varianten zeigten höhere Late-Gadolinium-Enhancement-Prävalenz (69,2% vs. 24,7% bei TTN), höhere T1 und extrazelluläres Volumen. Nicht-TTN-Varianten predizierten kardiovaskulären Tod/Transplantation (adjustierte HR 2,39; 95% KI 1,46–3,92; p&lt;0,001) und plötzlichen Herztod (adjustierte HR 3,26; 95% KI 1,59–6,65; p=0,001) unabhängig.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Patientendaten aus China; genetische/bildgebende Mechanismen universal, Prognostik auf deutsches Patientengut übertragbar</w:t>
      </w:r>
    </w:p>
    <w:p>
      <w:r>
        <w:rPr>
          <w:color w:val="5A7D3A"/>
          <w:sz w:val="18"/>
        </w:rPr>
        <w:t>https://pubmed.ncbi.nlm.nih.gov/42814072/</w:t>
      </w:r>
    </w:p>
    <w:p>
      <w:pPr>
        <w:pStyle w:val="Heading2"/>
      </w:pPr>
      <w:r>
        <w:t>Periphere arterielle Verschlusskrankheit unterdiagnostiziert: 5-Jahres-Mortalität 30–50% bei später Diagnose</w:t>
      </w:r>
    </w:p>
    <w:p>
      <w:r>
        <w:rPr>
          <w:i/>
          <w:color w:val="666666"/>
          <w:sz w:val="18"/>
        </w:rPr>
        <w:t>Behrendt CA et al.  ·  Lancet  ·  03.10.2026  ·  PMID 42772316</w:t>
      </w:r>
    </w:p>
    <w:p>
      <w:r>
        <w:t>Aufruf-Review der Lancet-Serie zu globaler Epidemiologie, Unterdiagnose und Unterbehandlung der peripheren arteriellen Verschlusskrankheit in Primär- und Innere-Medizin-Praxis.</w:t>
      </w:r>
    </w:p>
    <w:p>
      <w:r>
        <w:rPr>
          <w:b/>
        </w:rPr>
        <w:t xml:space="preserve">Ergebnis: </w:t>
      </w:r>
      <w:r>
        <w:t>PAV bleibt lange asymptomatisch, Diagnose oft erst im fortgeschrittenen Stadium. 5-Jahres-Mortalität nach Diagnose 30–50%, übertrifft schwere Malignome und Herzinfarkt. Geringere Forschungspriorität und schlechte Adhärenz zu Lebensstiländerung und Therapie im Vergleich zu kardialer/zerebrovaskulärer Erkrankung. Serie fordert interdisziplinäre Strategien zur Prävention und frühen Erkennung.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Deutschland/Europa: nationale PAV-Registererfassung, Leitlinienpositionierung, Hausarztqualifikation zentral</w:t>
      </w:r>
    </w:p>
    <w:p>
      <w:r>
        <w:rPr>
          <w:color w:val="5A7D3A"/>
          <w:sz w:val="18"/>
        </w:rPr>
        <w:t>https://pubmed.ncbi.nlm.nih.gov/42772316/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2026-10-03T06:00:00Z</dcterms:created>
  <dcterms:modified xsi:type="dcterms:W3CDTF">2026-10-03T06:00:00Z</dcterms:modified>
  <cp:category/>
</cp:coreProperties>
</file>