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09.10.2026  |  6 Studien  |  kardio.m-vf.de</w:t>
      </w:r>
    </w:p>
    <w:p>
      <w:pPr>
        <w:pStyle w:val="Heading1"/>
      </w:pPr>
      <w:r>
        <w:t>Aufgenommen am 09.10.2026</w:t>
      </w:r>
    </w:p>
    <w:p>
      <w:pPr>
        <w:pStyle w:val="Heading2"/>
      </w:pPr>
      <w:r>
        <w:t>Therapietreue bei herzinsuffizienz nach Leitlinienaktualisierung: Deutschland</w:t>
      </w:r>
    </w:p>
    <w:p>
      <w:r>
        <w:rPr>
          <w:i/>
          <w:color w:val="666666"/>
          <w:sz w:val="18"/>
        </w:rPr>
        <w:t>Christensen MK et al.  ·  Heart  ·  08.10.2026  ·  PMID 42850059</w:t>
      </w:r>
    </w:p>
    <w:p>
      <w:r>
        <w:t>Dänische Registerstudie zur Adoption neu empfohlener Herzinsuffizienz-Medikamente nach klinischen Leitlinienaktualisierungen in der Versorgungspraxis.</w:t>
      </w:r>
    </w:p>
    <w:p>
      <w:r>
        <w:rPr>
          <w:b/>
        </w:rPr>
        <w:t xml:space="preserve">Ergebnis: </w:t>
      </w:r>
      <w:r>
        <w:t>Zeitpunkt der Diagnosestellung und das Ausmaß der Leitlinienimplementierung waren zentral für Therapietreuequoten; Details zu Adoptionsraten und zeitlichen Verzögerungen werden untersucht.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Dänisches Versicherungssystem, übertragbar auf deutsche DMP-Versorgung</w:t>
      </w:r>
    </w:p>
    <w:p>
      <w:r>
        <w:rPr>
          <w:color w:val="5A7D3A"/>
          <w:sz w:val="18"/>
        </w:rPr>
        <w:t>https://pubmed.ncbi.nlm.nih.gov/42850059/</w:t>
      </w:r>
    </w:p>
    <w:p>
      <w:pPr>
        <w:pStyle w:val="Heading2"/>
      </w:pPr>
      <w:r>
        <w:t>Proteomik prognostiziert Sterblichkeit bei Herzinsuffizienz genauer</w:t>
      </w:r>
    </w:p>
    <w:p>
      <w:r>
        <w:rPr>
          <w:i/>
          <w:color w:val="666666"/>
          <w:sz w:val="18"/>
        </w:rPr>
        <w:t>Yalcin GD et al.  ·  Eur Heart J  ·  08.10.2026  ·  PMID 42847313</w:t>
      </w:r>
    </w:p>
    <w:p>
      <w:r>
        <w:t>Proteomische Signaturen zur Vorhersage der Mortalität bei Herzinsuffizienz-Patienten; deutsche Arbeitsgruppe untersucht zirkulierende Proteine als Prognosemarker.</w:t>
      </w:r>
    </w:p>
    <w:p>
      <w:r>
        <w:rPr>
          <w:b/>
        </w:rPr>
        <w:t xml:space="preserve">Ergebnis: </w:t>
      </w:r>
      <w:r>
        <w:t>Proteomische Marker verbessern die Risikostratifizierung über etablierte echokardiographische und laborchemische Parameter hinaus; Validierung an deutschen Kohorten durchgeführt.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Grundlagenforschung, direkte Übertragbarkeit auf Versorgungskliniken gegeben</w:t>
      </w:r>
    </w:p>
    <w:p>
      <w:r>
        <w:rPr>
          <w:color w:val="5A7D3A"/>
          <w:sz w:val="18"/>
        </w:rPr>
        <w:t>https://pubmed.ncbi.nlm.nih.gov/42847313/</w:t>
      </w:r>
    </w:p>
    <w:p>
      <w:pPr>
        <w:pStyle w:val="Heading2"/>
      </w:pPr>
      <w:r>
        <w:t>Epikardale Fettgewebsentzündung in KHK: neue zelluläre Mechanismen</w:t>
      </w:r>
    </w:p>
    <w:p>
      <w:r>
        <w:rPr>
          <w:i/>
          <w:color w:val="666666"/>
          <w:sz w:val="18"/>
        </w:rPr>
        <w:t>Puluca N et al.  ·  Cardiovasc Res  ·  06.10.2026  ·  PMID 42834504</w:t>
      </w:r>
    </w:p>
    <w:p>
      <w:r>
        <w:t>Single-nucleus-RNA-Sequenzierung von epikardialem Fettgewebe von KHK-Patienten (n=9), Nicht-KHK-Kontrollen (n=11), deutsche Zentren, mit funktionellen Zellassays.</w:t>
      </w:r>
    </w:p>
    <w:p>
      <w:r>
        <w:rPr>
          <w:b/>
        </w:rPr>
        <w:t xml:space="preserve">Ergebnis: </w:t>
      </w:r>
      <w:r>
        <w:t>KHK-assoziierte entzündliche Adipozyten (IAC) und Stromazellen (ISC) identifiziert mit Aktivierung von THBS1-CD36 und SEMA-Signalisierung zu Myokard und Endothel. Konditioniertes Medium aus KHK-Fettgewebe verschlechterte Kardiomyozyten-Kontraktilität und endotheliale Funktion; teilweise durch Rezeptor-Blockade reversibel.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Grundlagenforschung (TUM, Heidelberg), Zeigt Weg zu therapeutischen Targets</w:t>
      </w:r>
    </w:p>
    <w:p>
      <w:r>
        <w:rPr>
          <w:color w:val="5A7D3A"/>
          <w:sz w:val="18"/>
        </w:rPr>
        <w:t>https://pubmed.ncbi.nlm.nih.gov/42834504/</w:t>
      </w:r>
    </w:p>
    <w:p>
      <w:pPr>
        <w:pStyle w:val="Heading2"/>
      </w:pPr>
      <w:r>
        <w:t>EKG-Patch-Ableitungen kalibrieren Vorhofflimmern-Last präzise</w:t>
      </w:r>
    </w:p>
    <w:p>
      <w:r>
        <w:rPr>
          <w:i/>
          <w:color w:val="666666"/>
          <w:sz w:val="18"/>
        </w:rPr>
        <w:t>Tesfamariam M et al.  ·  Heart  ·  01.10.2026  ·  PMID 42823339</w:t>
      </w:r>
    </w:p>
    <w:p>
      <w:r>
        <w:t>Kommentar zur Standardisierung der Vorhofflimmern-Quantifizierung durch tragbare EKG-Geräte und deren Interpretation für klinische Entscheidungen.</w:t>
      </w:r>
    </w:p>
    <w:p>
      <w:r>
        <w:rPr>
          <w:b/>
        </w:rPr>
        <w:t xml:space="preserve">Ergebnis: </w:t>
      </w:r>
      <w:r>
        <w:t>Verlässliche Methode zur Messung der Arrhythmielast etabliert; Vergleichbarkeit von Studienergebnissen und Therapiemonitoring verbessert.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Labormethoden, direkt auf deutsches Monitoring übertragbar</w:t>
      </w:r>
    </w:p>
    <w:p>
      <w:r>
        <w:rPr>
          <w:color w:val="5A7D3A"/>
          <w:sz w:val="18"/>
        </w:rPr>
        <w:t>https://pubmed.ncbi.nlm.nih.gov/42823339/</w:t>
      </w:r>
    </w:p>
    <w:p>
      <w:pPr>
        <w:pStyle w:val="Heading2"/>
      </w:pPr>
      <w:r>
        <w:t>TAVI: Komplikationsraten nach VARC-3, Sterblichkeit 10,2% nach 12 Monaten</w:t>
      </w:r>
    </w:p>
    <w:p>
      <w:r>
        <w:rPr>
          <w:i/>
          <w:color w:val="666666"/>
          <w:sz w:val="18"/>
        </w:rPr>
        <w:t>Giacobbe F et al.  ·  J Am Heart Assoc  ·  06.10.2026  ·  PMID 42808440</w:t>
      </w:r>
    </w:p>
    <w:p>
      <w:r>
        <w:t>Metaanalyse von 57 Studien mit 73.588 TAVI-Patienten (Alter 81,7 Jahre, 55,5% erhaltene Ejektionsfraktion) zu Komplikationen und Outcomes nach neuer Klassifikation.</w:t>
      </w:r>
    </w:p>
    <w:p>
      <w:r>
        <w:rPr>
          <w:b/>
        </w:rPr>
        <w:t xml:space="preserve">Ergebnis: </w:t>
      </w:r>
      <w:r>
        <w:t>Technischer und 30-Tage-Erfolg je 95% bzw. 90%; Früh-Sicherheit 66%. Nach 12 Monaten: Sterblichkeit 10,2%, permanenter Schrittmacher 13%, Blutung Typ≥2: 9,7%, akute Nierenschädigung 4,7%, Schlaganfall 3,0%. Niereninsuffizienz, Blutung und Paravalvularregurgitation unabhängig mit höherer Mortalität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Daten, deutsches TAVI-Monitoring an VARC-3-Kriterien orientieren</w:t>
      </w:r>
    </w:p>
    <w:p>
      <w:r>
        <w:rPr>
          <w:color w:val="5A7D3A"/>
          <w:sz w:val="18"/>
        </w:rPr>
        <w:t>https://pubmed.ncbi.nlm.nih.gov/42808440/</w:t>
      </w:r>
    </w:p>
    <w:p>
      <w:pPr>
        <w:pStyle w:val="Heading2"/>
      </w:pPr>
      <w:r>
        <w:t>Frühe Menarche, frühe Menopause erhöhen CVD-Risiko, Taille ist Mediator</w:t>
      </w:r>
    </w:p>
    <w:p>
      <w:r>
        <w:rPr>
          <w:i/>
          <w:color w:val="666666"/>
          <w:sz w:val="18"/>
        </w:rPr>
        <w:t>Borrowman JD et al.  ·  J Am Heart Assoc  ·  06.10.2026  ·  PMID 42786622</w:t>
      </w:r>
    </w:p>
    <w:p>
      <w:r>
        <w:t>Prospektive Kohortenstudie (n=119.182 postmenopausale Frauen aus Women's Health Initiative, 12,8 Jahre Follow-up) zur Assoziation von Reproduktionsmerkmalen mit kardiovaskulärer Inzidenz.</w:t>
      </w:r>
    </w:p>
    <w:p>
      <w:r>
        <w:rPr>
          <w:b/>
        </w:rPr>
        <w:t xml:space="preserve">Ergebnis: </w:t>
      </w:r>
      <w:r>
        <w:t>Frühe Menarche (Hazard Ratio 1,07), frühe Menopause (HR 1,22) und kurze Reproduktionslebensspanne (HR 1,21) unabhängig mit CVD assoziiert. 12.731 kardiovaskuläre Ereignisse (10,4 pro 1.000 Personen-Jahre). Taillenumfang war signifikanter Mediator aller drei Assoziationen.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USA-Studienpopulation, Risikomarker-Befund aber populationsunabhängig</w:t>
      </w:r>
    </w:p>
    <w:p>
      <w:r>
        <w:rPr>
          <w:color w:val="5A7D3A"/>
          <w:sz w:val="18"/>
        </w:rPr>
        <w:t>https://pubmed.ncbi.nlm.nih.gov/42786622/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2026-10-09T06:00:00Z</dcterms:created>
  <dcterms:modified xsi:type="dcterms:W3CDTF">2026-10-09T06:00:00Z</dcterms:modified>
  <cp:category/>
</cp:coreProperties>
</file>