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02.10.2026  |  6 Studien  |  kardio.m-vf.de</w:t>
      </w:r>
    </w:p>
    <w:p>
      <w:pPr>
        <w:pStyle w:val="Heading1"/>
      </w:pPr>
      <w:r>
        <w:t>Aufgenommen am 02.10.2026</w:t>
      </w:r>
    </w:p>
    <w:p>
      <w:pPr>
        <w:pStyle w:val="Heading2"/>
      </w:pPr>
      <w:r>
        <w:t>Lebensqualität bei Herzinsuffizienz vorhersagt 1-Jahres-Mortalität unabhängig von Auswurfleistung</w:t>
      </w:r>
    </w:p>
    <w:p>
      <w:r>
        <w:rPr>
          <w:i/>
          <w:color w:val="666666"/>
          <w:sz w:val="18"/>
        </w:rPr>
        <w:t>Walli-Attaei M et al.  ·  Eur J Heart Fail  ·  01.10.2026  ·  PMID 42820334</w:t>
      </w:r>
    </w:p>
    <w:p>
      <w:r>
        <w:t>ESC-Registry mit 10.130 HF-Patienten (38,6% akut, 61,4% ambulant): Assoziation zwischen gemessener Lebensqualität (EQ-5D-5L) und 1-Jahres-Ergebnis wurde untersucht.</w:t>
      </w:r>
    </w:p>
    <w:p>
      <w:r>
        <w:rPr>
          <w:b/>
        </w:rPr>
        <w:t xml:space="preserve">Ergebnis: </w:t>
      </w:r>
      <w:r>
        <w:t>0,1-Punkt-Abfall der Lebensqualität (Skala -0,59 bis 1,00) assoziiert mit 9% erhöhtem Mortalitätsrisiko (äquivalent 37 Tagen verlorener Vollgesundheit pro Jahr); Assoziation konsistent über alle EF-Kategorien. 45% der Patienten zeigten HRQoL-Verbesserung nach 1 Jahr; ACEi/ARB/ARNI-Nutzer profitiert mehr.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Multizenterstudie, deutsches Versicherungssystem vergleichbar</w:t>
      </w:r>
    </w:p>
    <w:p>
      <w:r>
        <w:rPr>
          <w:color w:val="5A7D3A"/>
          <w:sz w:val="18"/>
        </w:rPr>
        <w:t>https://pubmed.ncbi.nlm.nih.gov/42820334/</w:t>
      </w:r>
    </w:p>
    <w:p>
      <w:pPr>
        <w:pStyle w:val="Heading2"/>
      </w:pPr>
      <w:r>
        <w:t>Prävention von Herzinsuffizienz über Kardio-Nieren-Metabolik-Spektrum: Europäischer Konsens</w:t>
      </w:r>
    </w:p>
    <w:p>
      <w:r>
        <w:rPr>
          <w:i/>
          <w:color w:val="666666"/>
          <w:sz w:val="18"/>
        </w:rPr>
        <w:t>Inciardi RM et al.  ·  Eur J Heart Fail  ·  01.10.2026  ·  PMID 42817848</w:t>
      </w:r>
    </w:p>
    <w:p>
      <w:r>
        <w:t>Europäischer Expertenkonsens zu pharmakologischen Strategien zur Herzinsuffizienz-Prävention durch frühe, parallele Initiierung von ACE-Hemmern/ARNi, SGLT2-Hemmern, nicht-steroidalen MRA und Inkretinagenzien.</w:t>
      </w:r>
    </w:p>
    <w:p>
      <w:r>
        <w:rPr>
          <w:b/>
        </w:rPr>
        <w:t xml:space="preserve">Ergebnis: </w:t>
      </w:r>
      <w:r>
        <w:t>ACE-Hemmer/ARNi, SGLT2-Hemmer, nicht-steroidale MRA und Inkretinagenzien zeigen komplementäre Benefits bei Reduktion von HF-Ereignissen, kardiovaskulärem Tod und CKD-Progression in Hochrisikogruppen. Frühe parallele Initiierung kann Krankheitsverlauf modifizieren und Progression von Präklinik zu manifester HF verhindern.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Europa: Strukturierte CKM-Versorgungspfade etablierbar in deutschen Systemen</w:t>
      </w:r>
    </w:p>
    <w:p>
      <w:r>
        <w:rPr>
          <w:color w:val="5A7D3A"/>
          <w:sz w:val="18"/>
        </w:rPr>
        <w:t>https://pubmed.ncbi.nlm.nih.gov/42817848/</w:t>
      </w:r>
    </w:p>
    <w:p>
      <w:pPr>
        <w:pStyle w:val="Heading2"/>
      </w:pPr>
      <w:r>
        <w:t>Strain-Imaging erkennt HF-Risiko früher als Auswurflektion, prognostisch 1,6-fach besser</w:t>
      </w:r>
    </w:p>
    <w:p>
      <w:r>
        <w:rPr>
          <w:i/>
          <w:color w:val="666666"/>
          <w:sz w:val="18"/>
        </w:rPr>
        <w:t>Kosmala W et al.  ·  ESC Heart Fail  ·  30.09.2026  ·  PMID 42813228</w:t>
      </w:r>
    </w:p>
    <w:p>
      <w:r>
        <w:t>Synthesearbeit zur Rolle von 2D-Speckle-Tracking-Echokardiographie (GLS, LA-Strain, RV-Strain) in HF-Früherkennung, Phänotypisierung und Risikostratifizierung.</w:t>
      </w:r>
    </w:p>
    <w:p>
      <w:r>
        <w:rPr>
          <w:b/>
        </w:rPr>
        <w:t xml:space="preserve">Ergebnis: </w:t>
      </w:r>
      <w:r>
        <w:t>GLS &lt;16% zeigt 4-fach höheres Hospitalisierungsrisiko in Präklinik (Stage B); in HFpEF validierte diagnostische Minorkriterium. GLS 1,6-fach besserer prognostischer Marker als LVEF, besonders in Präklinik und HFpEF. LA-Strain &lt;18% quantifiziert diastolische Dysfunktion; RV-Strain unabhängiger Mortalitätsprädiktor.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Evidenz, Echokardiographie in deutscher Flächenversorgung verfügbar</w:t>
      </w:r>
    </w:p>
    <w:p>
      <w:r>
        <w:rPr>
          <w:color w:val="5A7D3A"/>
          <w:sz w:val="18"/>
        </w:rPr>
        <w:t>https://pubmed.ncbi.nlm.nih.gov/42813228/</w:t>
      </w:r>
    </w:p>
    <w:p>
      <w:pPr>
        <w:pStyle w:val="Heading2"/>
      </w:pPr>
      <w:r>
        <w:t>Finerenon unterlegen Spironolacton bei HFmrEF/HFpEF nicht, senkt Hyperkaliämie stärker</w:t>
      </w:r>
    </w:p>
    <w:p>
      <w:r>
        <w:rPr>
          <w:i/>
          <w:color w:val="666666"/>
          <w:sz w:val="18"/>
        </w:rPr>
        <w:t>Ha PTK et al.  ·  ESC Heart Fail  ·  30.09.2026  ·  PMID 42813221</w:t>
      </w:r>
    </w:p>
    <w:p>
      <w:r>
        <w:t>Real-World-Vergleich (TriNetX, 9/2021-3/2025): 1.417 propensity-matched Paare mit HFmrEF/HFpEF, initiiert Finerenon oder Spironolacton, 12-Monats-Outcomes gemessen.</w:t>
      </w:r>
    </w:p>
    <w:p>
      <w:r>
        <w:rPr>
          <w:b/>
        </w:rPr>
        <w:t xml:space="preserve">Ergebnis: </w:t>
      </w:r>
      <w:r>
        <w:t>Finerenon: primärer Endpunkt (Mortalität oder HF-Exazerbation) 32,3% vs. 41,7% unter Spironolacton (aHR 0,72; 95%-KI 0,64–0,82). Mortalität aHR 0,67 (0,51–0,87), HF-Exazerbation aHR 0,73 (0,64–0,83), Klinikaufenthalte aHR 0,83 (0,76–0,91). Hyperkaliämie seltener: 17,9% vs. 22,8% (RR 0,79).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Observational, multinational; Hypokalämie-Profil relevant für deutsche Praxis</w:t>
      </w:r>
    </w:p>
    <w:p>
      <w:r>
        <w:rPr>
          <w:color w:val="5A7D3A"/>
          <w:sz w:val="18"/>
        </w:rPr>
        <w:t>https://pubmed.ncbi.nlm.nih.gov/42813221/</w:t>
      </w:r>
    </w:p>
    <w:p>
      <w:pPr>
        <w:pStyle w:val="Heading2"/>
      </w:pPr>
      <w:r>
        <w:t>Periphere arterielle Erkrankung: moderne Therapie reduziert Limbenamputation und Behinderung</w:t>
      </w:r>
    </w:p>
    <w:p>
      <w:r>
        <w:rPr>
          <w:i/>
          <w:color w:val="666666"/>
          <w:sz w:val="18"/>
        </w:rPr>
        <w:t>Tulamo R et al.  ·  Lancet  ·  03.10.2026  ·  PMID 42772315</w:t>
      </w:r>
    </w:p>
    <w:p>
      <w:r>
        <w:t>Zweites Lancet-Übersichtspapier der PAD-Serie: Modernes Management mit medikamentöser Therapie, Lebensstiländerung, Bewegungstherapie und selektiver Revaskularisation bei niedriger Amputationsrate.</w:t>
      </w:r>
    </w:p>
    <w:p>
      <w:r>
        <w:rPr>
          <w:b/>
        </w:rPr>
        <w:t xml:space="preserve">Ergebnis: </w:t>
      </w:r>
      <w:r>
        <w:t>Supervised Exercise Therapy wirksam zur Gehleistungsverbesserung bei Claudicatio; Revaskularisation übernutzt in dieser Gruppe, reserviert für Critical Limb Ischemia. Perioperative Risiken erheblich; Innovation in Therapie fokussiert auf Lebensqualität und Überleben, nicht isoliert auf Perfusion. Polyvaskularität kompliziert Management.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Autoren, deutsches Gesundheitssystem relevant</w:t>
      </w:r>
    </w:p>
    <w:p>
      <w:r>
        <w:rPr>
          <w:color w:val="5A7D3A"/>
          <w:sz w:val="18"/>
        </w:rPr>
        <w:t>https://pubmed.ncbi.nlm.nih.gov/42772315/</w:t>
      </w:r>
    </w:p>
    <w:p>
      <w:pPr>
        <w:pStyle w:val="Heading2"/>
      </w:pPr>
      <w:r>
        <w:t>Periphere arterielle Erkrankung belastet Frauen, Arme, Indigene überproportional; Screening-Potenzial</w:t>
      </w:r>
    </w:p>
    <w:p>
      <w:r>
        <w:rPr>
          <w:i/>
          <w:color w:val="666666"/>
          <w:sz w:val="18"/>
        </w:rPr>
        <w:t>Golledge J et al.  ·  Lancet  ·  03.10.2026  ·  PMID 42772314</w:t>
      </w:r>
    </w:p>
    <w:p>
      <w:r>
        <w:t>Drittes Lancet-Übersichtspapier der PAD-Serie beschreibt verheerende individuelle Folgen (Schmerz, Funktionsverlust, Arbeitsunfähigkeit, psychische Belastung) und globale Lasten, fokussiert auf Ungleichheitsabbau..</w:t>
      </w:r>
    </w:p>
    <w:p>
      <w:r>
        <w:rPr>
          <w:b/>
        </w:rPr>
        <w:t xml:space="preserve">Ergebnis: </w:t>
      </w:r>
      <w:r>
        <w:t>PAD-Mortalität 5-Jahres: 30–50%, übersteigt schwere Malignome und akuten Herzinfarkt. Frauen, First-Nations-Bevölkerungen, Nichtweiße, sozial Benachteiligte und Rural-Bewohner stark belastet. Empfehlungen: Multidisziplinarität, Awareness-Kampagnen, Screening- und Early-Management-Studien in unterversorgten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Ungleichheitsaspekte auf Deutschland übertragbar</w:t>
      </w:r>
    </w:p>
    <w:p>
      <w:r>
        <w:rPr>
          <w:color w:val="5A7D3A"/>
          <w:sz w:val="18"/>
        </w:rPr>
        <w:t>https://pubmed.ncbi.nlm.nih.gov/42772314/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2026-10-02T06:00:00Z</dcterms:created>
  <dcterms:modified xsi:type="dcterms:W3CDTF">2026-10-02T06:00:00Z</dcterms:modified>
  <cp:category/>
</cp:coreProperties>
</file>