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Neueste Studien - Kardiologie</w:t>
      </w:r>
    </w:p>
    <w:p>
      <w:r>
        <w:rPr>
          <w:i/>
          <w:color w:val="666666"/>
          <w:sz w:val="18"/>
        </w:rPr>
        <w:t>Stand: 30.09.2026  |  6 Studien  |  kardio.m-vf.de</w:t>
      </w:r>
    </w:p>
    <w:p>
      <w:pPr>
        <w:pStyle w:val="Heading1"/>
      </w:pPr>
      <w:r>
        <w:t>Aufgenommen am 30.09.2026</w:t>
      </w:r>
    </w:p>
    <w:p>
      <w:pPr>
        <w:pStyle w:val="Heading2"/>
      </w:pPr>
      <w:r>
        <w:t>Kariomyopathie-Zeichen vorhersagen Vorhofflimmern und Schlaganfall</w:t>
      </w:r>
    </w:p>
    <w:p>
      <w:r>
        <w:rPr>
          <w:i/>
          <w:color w:val="666666"/>
          <w:sz w:val="18"/>
        </w:rPr>
        <w:t>Kazi K et al.  ·  Europace  ·  02.09.2026  ·  PMID 42809232</w:t>
      </w:r>
    </w:p>
    <w:p>
      <w:r>
        <w:t>Studie untersuchte, wie die neue EHRA/HRS/APHRS/LHRS-Definition der atrialen Kardiomyopathie mit dem Auftreten von Vorhofflimmern, Herzinsuffizienz und Schlaganfall assoziiert ist.</w:t>
      </w:r>
    </w:p>
    <w:p>
      <w:r>
        <w:rPr>
          <w:b/>
        </w:rPr>
        <w:t xml:space="preserve">Ergebnis: </w:t>
      </w:r>
      <w:r>
        <w:t>Bei 33.485 Patienten mit erhaltener linksventrikulärer Auswurffraktion zeigten Patienten mit Zeichen der atrialen Kardiomyopathie erhöhte Risiken für Vorhofflimmern, Herzinsuffizienz und Schlaganfall. Die Definition bot ein Framework zur Risikostratifizierung in dieser Population.</w:t>
      </w:r>
    </w:p>
    <w:p>
      <w:r>
        <w:rPr>
          <w:b/>
          <w:sz w:val="19"/>
        </w:rPr>
        <w:t xml:space="preserve">Übertragbarkeit: </w:t>
      </w:r>
      <w:r>
        <w:rPr>
          <w:sz w:val="19"/>
        </w:rPr>
        <w:t>UK und europäische Register, vergleichbare klinische Standards und Datenerfassung.</w:t>
      </w:r>
    </w:p>
    <w:p>
      <w:r>
        <w:rPr>
          <w:color w:val="5A7D3A"/>
          <w:sz w:val="18"/>
        </w:rPr>
        <w:t>https://pubmed.ncbi.nlm.nih.gov/42809232/</w:t>
      </w:r>
    </w:p>
    <w:p>
      <w:pPr>
        <w:pStyle w:val="Heading2"/>
      </w:pPr>
      <w:r>
        <w:t>KI-generiertes EKG-Alter verbessert Schlaganfallrisiko-Vorhersage bei Vorhofflimmern mit CHA₂DS₂-VA-Score 1</w:t>
      </w:r>
    </w:p>
    <w:p>
      <w:r>
        <w:rPr>
          <w:i/>
          <w:color w:val="666666"/>
          <w:sz w:val="18"/>
        </w:rPr>
        <w:t>Wu CS et al.  ·  J Am Heart Assoc  ·  29.09.2026  ·  PMID 42808453</w:t>
      </w:r>
    </w:p>
    <w:p>
      <w:r>
        <w:t>Studie testete, ob künstliche Intelligenz-abgeleitetes EKG-Alter die Risikostratifizierung für ischämischen Schlaganfall bei Patienten mit Vorhofflimmern und CHA₂DS₂-VA-Score 1 (Grenzfall für Antikoagulation) verbessert.</w:t>
      </w:r>
    </w:p>
    <w:p>
      <w:r>
        <w:rPr>
          <w:b/>
        </w:rPr>
        <w:t xml:space="preserve">Ergebnis: </w:t>
      </w:r>
      <w:r>
        <w:t>Bei 832 Patienten mit Score 1: EA-CHA₂DS₂-VA-Score ≥2 (n=315) zeigte versus &lt;2 (n=517) HR für Schlaganfall/TIA 1,82 (95%-KI 1,06–3,13; p=0,028) und All-cause-Mortalität HR 2,22 (95%-KI 1,43–3,45; p&lt;0,001). EKG-Alter erhöhte Diskriminierung für Risikostratifizierung.</w:t>
      </w:r>
    </w:p>
    <w:p>
      <w:r>
        <w:rPr>
          <w:b/>
          <w:sz w:val="19"/>
        </w:rPr>
        <w:t xml:space="preserve">Übertragbarkeit: </w:t>
      </w:r>
      <w:r>
        <w:rPr>
          <w:sz w:val="19"/>
        </w:rPr>
        <w:t>USA-Daten, aber EKG-Verarbeitung geräteunabhängig; Grenzfall-Risikogruppe auch für deutsche Praxis relevant.</w:t>
      </w:r>
    </w:p>
    <w:p>
      <w:r>
        <w:rPr>
          <w:color w:val="5A7D3A"/>
          <w:sz w:val="18"/>
        </w:rPr>
        <w:t>https://pubmed.ncbi.nlm.nih.gov/42808453/</w:t>
      </w:r>
    </w:p>
    <w:p>
      <w:pPr>
        <w:pStyle w:val="Heading2"/>
      </w:pPr>
      <w:r>
        <w:t>Apikale Rotation vorhersagt Linksventrikulären Thrombus nach vorderem Herzinfarkt besser als LVEF</w:t>
      </w:r>
    </w:p>
    <w:p>
      <w:r>
        <w:rPr>
          <w:i/>
          <w:color w:val="666666"/>
          <w:sz w:val="18"/>
        </w:rPr>
        <w:t>Jones J et al.  ·  Eur Heart J Cardiovasc Imaging  ·  29.09.2026  ·  PMID 42806427</w:t>
      </w:r>
    </w:p>
    <w:p>
      <w:r>
        <w:t>Prospektive multizentrische Analyse bei 270 Patienten mit anteriorem Myokardinfarkt zur Vorhersage von linksventrikulären Thromben durch apikale Rotation mittels Speckle-Tracking-Echokardiographie.</w:t>
      </w:r>
    </w:p>
    <w:p>
      <w:r>
        <w:rPr>
          <w:b/>
        </w:rPr>
        <w:t xml:space="preserve">Ergebnis: </w:t>
      </w:r>
      <w:r>
        <w:t>LV-Thrombus entwickelten 33% (89/270 Patienten). Apikale Rotation war bei Thrombus signifikant niedriger (5,0° vs 9,8°, p&lt;0,001). Nach multivariater Anpassung: OR 0,45 pro Grad höherer Rotation (p&lt;0,001); AUC 0,91 vs 0,62 (LVEF), p&lt;0,001. Apikale Rotation blieb auch bei LVEF ≤40% superior (AUC 0,89 vs 0,48).</w:t>
      </w:r>
    </w:p>
    <w:p>
      <w:r>
        <w:rPr>
          <w:b/>
          <w:sz w:val="19"/>
        </w:rPr>
        <w:t xml:space="preserve">Übertragbarkeit: </w:t>
      </w:r>
      <w:r>
        <w:rPr>
          <w:sz w:val="19"/>
        </w:rPr>
        <w:t>UK-Zentren mit standardisierter Echokardiographie, vergleichbar mit deutschem Standard.</w:t>
      </w:r>
    </w:p>
    <w:p>
      <w:r>
        <w:rPr>
          <w:color w:val="5A7D3A"/>
          <w:sz w:val="18"/>
        </w:rPr>
        <w:t>https://pubmed.ncbi.nlm.nih.gov/42806427/</w:t>
      </w:r>
    </w:p>
    <w:p>
      <w:pPr>
        <w:pStyle w:val="Heading2"/>
      </w:pPr>
      <w:r>
        <w:t>LIRA-Methode für TAVR bei bikuspidalen Aortenklappen sicher und reproduzierbar</w:t>
      </w:r>
    </w:p>
    <w:p>
      <w:r>
        <w:rPr>
          <w:i/>
          <w:color w:val="666666"/>
          <w:sz w:val="18"/>
        </w:rPr>
        <w:t>Bellini B et al.  ·  JACC Cardiovasc Interv  ·  28.09.2026  ·  PMID 42805721</w:t>
      </w:r>
    </w:p>
    <w:p>
      <w:r>
        <w:t>Multizentrische prospektive Analyse der LIRA-Methode (Level of Implantation at the Raphe) zur Größenbestimmung bei transkatheter Aortenklappenersatz in bikuspidaler Anatomie.</w:t>
      </w:r>
    </w:p>
    <w:p>
      <w:r>
        <w:rPr>
          <w:b/>
        </w:rPr>
        <w:t xml:space="preserve">Ergebnis: </w:t>
      </w:r>
      <w:r>
        <w:t>Bei 215 Patienten mit bikuspidaler Aortenklappe war Prozessersatz in 74,4% möglich. Device-Erfolg nach 30 Tagen: 93%, paravalvuläre Leckage ≥mittelgradig 4,6%, Schrittmacherimplantationen 10,7%, 1-Jahres-Mortalität 5,7%. Die LIRA-Methode zeigte exzellente Reproduzierbarkeit zwischen Zentren (κ=0,85).</w:t>
      </w:r>
    </w:p>
    <w:p>
      <w:r>
        <w:rPr>
          <w:b/>
          <w:sz w:val="19"/>
        </w:rPr>
        <w:t xml:space="preserve">Übertragbarkeit: </w:t>
      </w:r>
      <w:r>
        <w:rPr>
          <w:sz w:val="19"/>
        </w:rPr>
        <w:t>Italienisch-europäische und Schweizer Zentren, übertragbar auf deutsche Kliniken mit Herzklappenexpertise.</w:t>
      </w:r>
    </w:p>
    <w:p>
      <w:r>
        <w:rPr>
          <w:color w:val="5A7D3A"/>
          <w:sz w:val="18"/>
        </w:rPr>
        <w:t>https://pubmed.ncbi.nlm.nih.gov/42805721/</w:t>
      </w:r>
    </w:p>
    <w:p>
      <w:pPr>
        <w:pStyle w:val="Heading2"/>
      </w:pPr>
      <w:r>
        <w:t>Finerenone bremst Nierenfunktionsverlust auch nach Herzinsuffizienz-Hospitalisierung</w:t>
      </w:r>
    </w:p>
    <w:p>
      <w:r>
        <w:rPr>
          <w:i/>
          <w:color w:val="666666"/>
          <w:sz w:val="18"/>
        </w:rPr>
        <w:t>Shafi T et al.  ·  Eur J Heart Fail  ·  28.09.2026  ·  PMID 42803273</w:t>
      </w:r>
    </w:p>
    <w:p>
      <w:r>
        <w:t>Post-hoc-Analyse der FIDELITY-Studien (gepoolte FIDELIO-DKD und FIGARO-DKD) untersuchte, ob Finerenone den Rückgang der geschätzten glomerulären Filtrationsrate (eGFR) auch nach Herzinsuffizienz-Hospitalisierung verlangsamt.</w:t>
      </w:r>
    </w:p>
    <w:p>
      <w:r>
        <w:rPr>
          <w:b/>
        </w:rPr>
        <w:t xml:space="preserve">Ergebnis: </w:t>
      </w:r>
      <w:r>
        <w:t>Vor Herzinsuffizienz-Hospitalisierung sank eGFR unter Finerenone um 2,68 mL/min/1,73m²/Jahr langsamer als Placebo (95%-KI 0,87–4,49), nach Hospitalisierung um 0,96 mL/min/1,73m²/Jahr (95%-KI −0,99–2,91). Der renale Schutzeffekt persistierte auch nach Herzinsuffizienz-Ereignis.</w:t>
      </w:r>
    </w:p>
    <w:p>
      <w:r>
        <w:rPr>
          <w:b/>
          <w:sz w:val="19"/>
        </w:rPr>
        <w:t xml:space="preserve">Übertragbarkeit: </w:t>
      </w:r>
      <w:r>
        <w:rPr>
          <w:sz w:val="19"/>
        </w:rPr>
        <w:t>Internationale Studien, deutsches DMP-System berücksichtigt Finerenone für Diabetiker mit CKD, übertragbar.</w:t>
      </w:r>
    </w:p>
    <w:p>
      <w:r>
        <w:rPr>
          <w:color w:val="5A7D3A"/>
          <w:sz w:val="18"/>
        </w:rPr>
        <w:t>https://pubmed.ncbi.nlm.nih.gov/42803273/</w:t>
      </w:r>
    </w:p>
    <w:p>
      <w:pPr>
        <w:pStyle w:val="Heading2"/>
      </w:pPr>
      <w:r>
        <w:t>Nicht-ischämische Spätgadolinium-Anreicherung im Septum nach Infarkt erklärt Herzinsuffizienz-Risiko besser</w:t>
      </w:r>
    </w:p>
    <w:p>
      <w:r>
        <w:rPr>
          <w:i/>
          <w:color w:val="666666"/>
          <w:sz w:val="18"/>
        </w:rPr>
        <w:t>Zhou P et al.  ·  J Am Heart Assoc  ·  24.09.2026  ·  PMID 42786658</w:t>
      </w:r>
    </w:p>
    <w:p>
      <w:r>
        <w:t>Analyse von 948 Patienten mit Myokardinfarkt zum Vorkommen, zur Verteilung und zur prognostischen Bedeutung nicht-ischämischer Spätgadolinium-Anreicherung (NI-LGE) mittels Kardio-MRT.</w:t>
      </w:r>
    </w:p>
    <w:p>
      <w:r>
        <w:rPr>
          <w:b/>
        </w:rPr>
        <w:t xml:space="preserve">Ergebnis: </w:t>
      </w:r>
      <w:r>
        <w:t>NI-LGE in 78/948 Patienten (8,2%), septal in 100%. Nach Median 69,6 Monaten: 99 HF- und 63 plötzliche Todesfälle. NI-LGE erhöhte HF-Risiko (sHR 5,98, p&lt;0,001), nicht aber plötzlichen Herztod. C-Index für HF stieg von 0,84 auf 0,87 mit NI-LGE (p&lt;0,001). Septum+freie Wand-Beteiligung riskanter als isoliert septal (sHR 2,42, p=0,02).</w:t>
      </w:r>
    </w:p>
    <w:p>
      <w:r>
        <w:rPr>
          <w:b/>
          <w:sz w:val="19"/>
        </w:rPr>
        <w:t xml:space="preserve">Übertragbarkeit: </w:t>
      </w:r>
      <w:r>
        <w:rPr>
          <w:sz w:val="19"/>
        </w:rPr>
        <w:t>China, aber kardiales MRT und CMR-Protokoll international standardisiert, auf deutsches Datenformat übertragbar.</w:t>
      </w:r>
    </w:p>
    <w:p>
      <w:r>
        <w:rPr>
          <w:color w:val="5A7D3A"/>
          <w:sz w:val="18"/>
        </w:rPr>
        <w:t>https://pubmed.ncbi.nlm.nih.gov/42786658/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Neueste Studien - Kardiologie</dc:title>
  <dc:subject/>
  <dc:creator>Monitor Versorgungsforschung</dc:creator>
  <cp:keywords/>
  <dc:description>generated by python-docx</dc:description>
  <cp:lastModifiedBy/>
  <cp:revision>1</cp:revision>
  <dcterms:created xsi:type="dcterms:W3CDTF">2026-09-30T06:00:00Z</dcterms:created>
  <dcterms:modified xsi:type="dcterms:W3CDTF">2026-09-30T06:00:00Z</dcterms:modified>
  <cp:category/>
</cp:coreProperties>
</file>