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20.10.2026  |  236 Studien  |  kardio.m-vf.de</w:t>
      </w:r>
    </w:p>
    <w:p>
      <w:pPr>
        <w:pStyle w:val="Heading1"/>
      </w:pPr>
      <w:r>
        <w:t>Aufgenommen am 20.10.2026</w:t>
      </w:r>
    </w:p>
    <w:p>
      <w:pPr>
        <w:pStyle w:val="Heading2"/>
      </w:pPr>
      <w:r>
        <w:t>Leberfunktionsmuster identifizieren Hochrisiko-Patienten bei akuter Herzinsuffizienz</w:t>
      </w:r>
    </w:p>
    <w:p>
      <w:r>
        <w:rPr>
          <w:i/>
          <w:color w:val="666666"/>
          <w:sz w:val="18"/>
        </w:rPr>
        <w:t>Marcus G et al.  ·  Clin Res Cardiol  ·  19.10.2026  ·  PMID 42895544</w:t>
      </w:r>
    </w:p>
    <w:p>
      <w:r>
        <w:t>Israelische Kohortenstudie an 8332 Hospitalisierungen mit akut dekompensierter Herzinsuffizienz untersuchte, ob Muster der Leberfunktionswerte (AST, ALT, alkalische Phosphatase, Bilirubin) Prognose vorhersagen.</w:t>
      </w:r>
    </w:p>
    <w:p>
      <w:r>
        <w:rPr>
          <w:b/>
        </w:rPr>
        <w:t xml:space="preserve">Ergebnis: </w:t>
      </w:r>
      <w:r>
        <w:t>Vier Phänotypen zeigten deutlich unterschiedliche Sterblichkeit: keine Leberverletzung 3,5 %, hepatozellulär 16,3 %, cholestasisch 9,0 %, kombiniert 24,3 % (p&lt;0,001). Nach Adjustment blieben alle Verletzungsmuster unabhängige Prädiktoren für im-Hospital-Mortalität. Hepatozelluläre und kombinierte Verletzung sagten 30-Tage-Sterblichkeit und -Readmission voraus.</w:t>
      </w:r>
    </w:p>
    <w:p>
      <w:r>
        <w:rPr>
          <w:b/>
          <w:sz w:val="19"/>
        </w:rPr>
        <w:t xml:space="preserve">Übertragbarkeit: </w:t>
      </w:r>
      <w:r>
        <w:rPr>
          <w:sz w:val="19"/>
        </w:rPr>
        <w:t>Israel, vergleichbare Dokumentationspraxis; Routineparameter für deutsche Kliniken verfügbar.</w:t>
      </w:r>
    </w:p>
    <w:p>
      <w:r>
        <w:rPr>
          <w:color w:val="5A7D3A"/>
          <w:sz w:val="18"/>
        </w:rPr>
        <w:t>https://pubmed.ncbi.nlm.nih.gov/42895544/</w:t>
      </w:r>
    </w:p>
    <w:p>
      <w:pPr>
        <w:pStyle w:val="Heading2"/>
      </w:pPr>
      <w:r>
        <w:t>Echokardiographischer Atrial-Coupling-Index prognostiziert Vorhofflimmern nach Schlaganfall</w:t>
      </w:r>
    </w:p>
    <w:p>
      <w:r>
        <w:rPr>
          <w:i/>
          <w:color w:val="666666"/>
          <w:sz w:val="18"/>
        </w:rPr>
        <w:t>Giordano C et al.  ·  Clin Res Cardiol  ·  19.10.2026  ·  PMID 42895543</w:t>
      </w:r>
    </w:p>
    <w:p>
      <w:r>
        <w:t>Italienische Kohortenstudie an 285 Patienten mit embolischem Schlaganfall oder TIA unbekannter Ursache untersuchte, ob der Left Atrial Volumetric-Mechanical Coupling Index (LACI-VM) das Auftreten von Vorhofflimmern vorhersagt.</w:t>
      </w:r>
    </w:p>
    <w:p>
      <w:r>
        <w:rPr>
          <w:b/>
        </w:rPr>
        <w:t xml:space="preserve">Ergebnis: </w:t>
      </w:r>
      <w:r>
        <w:t>Über 10,9 Monate Nachbeobachtung entwickelten 24 Patienten (8,4 %) Vorhofflimmern, 62 % innerhalb eines Jahres. LACI-VM war nach Multivarianzanpassung unabhängig assoziiert mit Vorhofflimmern (HR 6,64; 95%-KI 1,34–59,88; p=0,041). Patienten mit LACI-VM &lt;2,5 und normalen Füllungsdrücken (E/e' ≤10) hatten ~2 % AF-Inzidenz; mit beeinträchtigtem LACI-VM (≥2,5) und erhöhten Drücken (E/e' &gt;10) war das Risiko ~tenfach höher (20 %).</w:t>
      </w:r>
    </w:p>
    <w:p>
      <w:r>
        <w:rPr>
          <w:b/>
          <w:sz w:val="19"/>
        </w:rPr>
        <w:t xml:space="preserve">Übertragbarkeit: </w:t>
      </w:r>
      <w:r>
        <w:rPr>
          <w:sz w:val="19"/>
        </w:rPr>
        <w:t>Italien, kardiologische Echokardiographie; einfache Messung für deutsche Stroke Units anwendbar.</w:t>
      </w:r>
    </w:p>
    <w:p>
      <w:r>
        <w:rPr>
          <w:color w:val="5A7D3A"/>
          <w:sz w:val="18"/>
        </w:rPr>
        <w:t>https://pubmed.ncbi.nlm.nih.gov/42895543/</w:t>
      </w:r>
    </w:p>
    <w:p>
      <w:pPr>
        <w:pStyle w:val="Heading2"/>
      </w:pPr>
      <w:r>
        <w:t>Lipoprotein(a) nicht assoziiert mit Reperfusionsschaden bei STEMI</w:t>
      </w:r>
    </w:p>
    <w:p>
      <w:r>
        <w:rPr>
          <w:i/>
          <w:color w:val="666666"/>
          <w:sz w:val="18"/>
        </w:rPr>
        <w:t>Holzknecht M et al.  ·  Clin Res Cardiol  ·  19.10.2026  ·  PMID 42895541</w:t>
      </w:r>
    </w:p>
    <w:p>
      <w:r>
        <w:t>Österreichische prospektive Kohortenstudie (MARINA-STEMI) an 518 STEMI-Patienten mit primärer PCI untersuchte, ob Lipoprotein(a) mit Ischämie-Reperfusionsschaden (gemessen durch kardiale Magnetresonanztomographie) korreliert.</w:t>
      </w:r>
    </w:p>
    <w:p>
      <w:r>
        <w:rPr>
          <w:b/>
        </w:rPr>
        <w:t xml:space="preserve">Ergebnis: </w:t>
      </w:r>
      <w:r>
        <w:t>LDL-Cholesterin korrelierte mit Infarktgröße (ρ=0,114; p=0,010) und war höher bei Patienten mit intramyokardialer Hämorrhagie (145 vs. 140 mg/dl; p=0,031). Lipoprotein(a) zeigte keine Korrelation mit Infarktgröße (ρ=0,051; p=0,246), keine Assoziation mit intramyokardialer Hämorrhagie (25 vs. 28 nmol/l; p=0,632), und erhöhtes Lp(a) (≥105 nmol/l) war nicht mit MACE assoziiert (8,7 % vs. 8,8 %; p=0,966).</w:t>
      </w:r>
    </w:p>
    <w:p>
      <w:r>
        <w:rPr>
          <w:b/>
          <w:sz w:val="19"/>
        </w:rPr>
        <w:t xml:space="preserve">Übertragbarkeit: </w:t>
      </w:r>
      <w:r>
        <w:rPr>
          <w:sz w:val="19"/>
        </w:rPr>
        <w:t>Österreich, vergleichbares Gesundheitssystem; zeigt Grenzen eines Biomarkers auf, relevant für deutsche Patientenselektion.</w:t>
      </w:r>
    </w:p>
    <w:p>
      <w:r>
        <w:rPr>
          <w:color w:val="5A7D3A"/>
          <w:sz w:val="18"/>
        </w:rPr>
        <w:t>https://pubmed.ncbi.nlm.nih.gov/42895541/</w:t>
      </w:r>
    </w:p>
    <w:p>
      <w:pPr>
        <w:pStyle w:val="Heading2"/>
      </w:pPr>
      <w:r>
        <w:t>ESC-Konsensus zur Nachsorge von Herztransplantierten außerhalb von Zentren</w:t>
      </w:r>
    </w:p>
    <w:p>
      <w:r>
        <w:rPr>
          <w:i/>
          <w:color w:val="666666"/>
          <w:sz w:val="18"/>
        </w:rPr>
        <w:t>Baudry G et al.  ·  Eur J Heart Fail  ·  19.10.2026  ·  PMID 42895118</w:t>
      </w:r>
    </w:p>
    <w:p>
      <w:r>
        <w:t>Europäische Konsensusstellungnahme (HFA/ACNAP/ESC) mit Handlungsempfehlungen für Nicht-Transplantationszentren zur Betreuung von Langzeit-Herztransplantierten hinsichtlich Immunsuppression, Abstoßung, Infektion, kardiale Vaskulopathie, Malignität, Nierenerkrankung und metabolischen Störungen.</w:t>
      </w:r>
    </w:p>
    <w:p>
      <w:r>
        <w:rPr>
          <w:b/>
        </w:rPr>
        <w:t xml:space="preserve">Ergebnis: </w:t>
      </w:r>
      <w:r>
        <w:t>Konsensus empfiehlt strukturierte Nachsorgemodelle mit zeitabhängigen Behandlungsprinzipien, Shared-Care-Modelle zwischen Transplantationszentren und Hausversorgern, klare Kriterien für Überweisung bei komplexen Szenarien (Fertilität, Schwangerschaft, nicht-kardiale Chirurgie, Rehabilitation, palliative Care). Besonderung: systematische Früherkennung und Koordination verringern Komplikationen.</w:t>
      </w:r>
    </w:p>
    <w:p>
      <w:r>
        <w:rPr>
          <w:b/>
          <w:sz w:val="19"/>
        </w:rPr>
        <w:t xml:space="preserve">Übertragbarkeit: </w:t>
      </w:r>
      <w:r>
        <w:rPr>
          <w:sz w:val="19"/>
        </w:rPr>
        <w:t>Europa (Deutschland Mitautor), deutschsprachige Zentren; strukturelle Vorgaben direkt übertragbar.</w:t>
      </w:r>
    </w:p>
    <w:p>
      <w:r>
        <w:rPr>
          <w:color w:val="5A7D3A"/>
          <w:sz w:val="18"/>
        </w:rPr>
        <w:t>https://pubmed.ncbi.nlm.nih.gov/42895118/</w:t>
      </w:r>
    </w:p>
    <w:p>
      <w:pPr>
        <w:pStyle w:val="Heading2"/>
      </w:pPr>
      <w:r>
        <w:t>Herzinsuffizienz zerstört die normale Struktur der Herzmuskel-Tubuli</w:t>
      </w:r>
    </w:p>
    <w:p>
      <w:r>
        <w:rPr>
          <w:i/>
          <w:color w:val="666666"/>
          <w:sz w:val="18"/>
        </w:rPr>
        <w:t>Iqbal Z et al.  ·  J Mol Cell Cardiol  ·  09.10.2026  ·  PMID 42854828</w:t>
      </w:r>
    </w:p>
    <w:p>
      <w:r>
        <w:t>Deutsche Grundlagenstudie an Gewebeschnitten von 8 nicht-insuffizienten und 13 terminal insuffizienten Spenderherzen untersuchte, ob die transmuralen Gradienten der T-Tubuli (Ionenkanäle der Myozyten) bei Herzinsuffizienz erhalten bleiben und ob kleine Biopsien repräsentativ sind.</w:t>
      </w:r>
    </w:p>
    <w:p>
      <w:r>
        <w:rPr>
          <w:b/>
        </w:rPr>
        <w:t xml:space="preserve">Ergebnis: </w:t>
      </w:r>
      <w:r>
        <w:t>In nicht-insuffizienten Herzen war die T-Tubuli-Dichte im Subepikard 45 % höher als im Subendokard (0,16 ± 0,01 % vs. 0,11 ± 0,01 %; p&lt;0,001). Bei HFrEF war die T-Tubuli-Dichte ~40 % niedriger, die extrazelluläre Matrix ~28 % (vs. ~20 %), Myozyten ~50 % breiter, und der transmuraale Gradient war aufgehoben. Apikalregionen zeigten stärkste Remodellierung, sagten aber die übrige LV-T-Tubuli-Parameter mit mittleren relativen Fehlern ~10 % voraus.</w:t>
      </w:r>
    </w:p>
    <w:p>
      <w:r>
        <w:rPr>
          <w:b/>
          <w:sz w:val="19"/>
        </w:rPr>
        <w:t xml:space="preserve">Übertragbarkeit: </w:t>
      </w:r>
      <w:r>
        <w:rPr>
          <w:sz w:val="19"/>
        </w:rPr>
        <w:t>Deutschland (Erlangen, Leipzig, Bad Oeynhausen), humane Explantate; Biopsie-Strategie für klinische T-Tubuli-Diagnostik definiert.</w:t>
      </w:r>
    </w:p>
    <w:p>
      <w:r>
        <w:rPr>
          <w:color w:val="5A7D3A"/>
          <w:sz w:val="18"/>
        </w:rPr>
        <w:t>https://pubmed.ncbi.nlm.nih.gov/42854828/</w:t>
      </w:r>
    </w:p>
    <w:p>
      <w:pPr>
        <w:pStyle w:val="Heading2"/>
      </w:pPr>
      <w:r>
        <w:t>FFR-CT prognostiziert Herzinfarkt und kardiovaskulären Tod unabhängig von Stenosegrad</w:t>
      </w:r>
    </w:p>
    <w:p>
      <w:r>
        <w:rPr>
          <w:i/>
          <w:color w:val="666666"/>
          <w:sz w:val="18"/>
        </w:rPr>
        <w:t>Bell JS et al.  ·  Circulation  ·  20.10.2026  ·  PMID 42770221</w:t>
      </w:r>
    </w:p>
    <w:p>
      <w:r>
        <w:t>Britische Kohortenstudie an 7836 Patienten mit stabiler Koronarer Herzkrankheit untersuchte, ob die computertomographisch abgeleitete Fraktionale Flussreserve (FFR-CT) zukünftige kardiovaskuläre Ereignisse vorhersagt.</w:t>
      </w:r>
    </w:p>
    <w:p>
      <w:r>
        <w:rPr>
          <w:b/>
        </w:rPr>
        <w:t xml:space="preserve">Ergebnis: </w:t>
      </w:r>
      <w:r>
        <w:t>FFR-CT-Werte ≤0,7 waren unabhängig von Stenosegrad mit erhöhtem Myokardinfarktrisiko assoziiert (adjustierte HR 2,94–3,39; p&lt;0,001), FFR-CT ≤0,5 mit kardiovaskulärem Tod (adjustierte HR 2,92; p=0,02). Ein FFR-CT-Wert von 0,67 markierte den optimalen Risikoschwellenwert. Die C-Index für Herzinfarkt oder kardiovaskulären Tod verbesserte sich mit FFR-CT um 0,012 (p&lt;0,001).</w:t>
      </w:r>
    </w:p>
    <w:p>
      <w:r>
        <w:rPr>
          <w:b/>
          <w:sz w:val="19"/>
        </w:rPr>
        <w:t xml:space="preserve">Übertragbarkeit: </w:t>
      </w:r>
      <w:r>
        <w:rPr>
          <w:sz w:val="19"/>
        </w:rPr>
        <w:t>Großbritannien, nationale Datenbank; Methode klinisch etabliert, übertragbar auf deutsche Screening-Strukturen.</w:t>
      </w:r>
    </w:p>
    <w:p>
      <w:r>
        <w:rPr>
          <w:color w:val="5A7D3A"/>
          <w:sz w:val="18"/>
        </w:rPr>
        <w:t>https://pubmed.ncbi.nlm.nih.gov/42770221/</w:t>
      </w:r>
    </w:p>
    <w:p>
      <w:pPr>
        <w:pStyle w:val="Heading1"/>
      </w:pPr>
      <w:r>
        <w:t>Aufgenommen am 19.10.2026</w:t>
      </w:r>
    </w:p>
    <w:p>
      <w:pPr>
        <w:pStyle w:val="Heading2"/>
      </w:pPr>
      <w:r>
        <w:t>GLP-1-Agonisten senken Vorhofflimmernrisiko bei Adipositas und Nierenerkrankung</w:t>
      </w:r>
    </w:p>
    <w:p>
      <w:r>
        <w:rPr>
          <w:i/>
          <w:color w:val="666666"/>
          <w:sz w:val="18"/>
        </w:rPr>
        <w:t>Hassan A et al.  ·  Int J Cardiol  ·  17.10.2026  ·  PMID 42892471</w:t>
      </w:r>
    </w:p>
    <w:p>
      <w:r>
        <w:t>Retrospektive Kohortenstudie an 7.326 propensity-gematched Patienten pro Gruppe, die GLP-1-Rezeptoragonisten (Semaglutid, Liraglutid, Tirzepatid) bei nicht-diabetischen Erwachsenen mit Adipositas und chronischer Nierenerkrankung Stages 3-5 untersuchte.</w:t>
      </w:r>
    </w:p>
    <w:p>
      <w:r>
        <w:rPr>
          <w:b/>
        </w:rPr>
        <w:t xml:space="preserve">Ergebnis: </w:t>
      </w:r>
      <w:r>
        <w:t>Nach 1 Jahr Inzidenz-Vorhofflimmern 1,63% unter GLP-1-RA vs. 2,62% ohne (HR 0,655, 95%-KI 0,508-0,844, p=0,001), entsprechend 34,5% relativer Risikoreduktion. Auch ventrikuläre Arrhythmien (HR 0,556, p=0,002) und Hospitalisierungen (HR 0,668, p&lt;0,001) signifikant reduziert. Effekte persistent über 2–3 Jahre.</w:t>
      </w:r>
    </w:p>
    <w:p>
      <w:r>
        <w:rPr>
          <w:b/>
          <w:sz w:val="19"/>
        </w:rPr>
        <w:t xml:space="preserve">Übertragbarkeit: </w:t>
      </w:r>
      <w:r>
        <w:rPr>
          <w:sz w:val="19"/>
        </w:rPr>
        <w:t>USA-Daten (TriNetX), begrenzte Direktübertragung auf deutsches System</w:t>
      </w:r>
    </w:p>
    <w:p>
      <w:r>
        <w:rPr>
          <w:color w:val="5A7D3A"/>
          <w:sz w:val="18"/>
        </w:rPr>
        <w:t>https://pubmed.ncbi.nlm.nih.gov/42892471/</w:t>
      </w:r>
    </w:p>
    <w:p>
      <w:pPr>
        <w:pStyle w:val="Heading2"/>
      </w:pPr>
      <w:r>
        <w:t>Alkoholbedingte Leberfettsucht erhöht Schlaganfallrisiko bei Vorhofflimmern</w:t>
      </w:r>
    </w:p>
    <w:p>
      <w:r>
        <w:rPr>
          <w:i/>
          <w:color w:val="666666"/>
          <w:sz w:val="18"/>
        </w:rPr>
        <w:t>Go YH et al.  ·  Heart Rhythm  ·  16.10.2026  ·  PMID 42887623</w:t>
      </w:r>
    </w:p>
    <w:p>
      <w:r>
        <w:t>Nationale koreanische Kohorte von 196.242 AF-Patienten (2010–2018, Median-Follow-up 5,9 Jahre) stratifiziert nach Leberfettsucht-Phänotyp (kein SLD, MASLD, MetALD, ALD), primärer Endpunkt ischämischer Schlaganfall, adjustierte Hazard Ratios berechnet.</w:t>
      </w:r>
    </w:p>
    <w:p>
      <w:r>
        <w:rPr>
          <w:b/>
        </w:rPr>
        <w:t xml:space="preserve">Ergebnis: </w:t>
      </w:r>
      <w:r>
        <w:t>Gegenüber kein-SLD: MASLD nicht assoziiert mit Schlaganfallrisiko (aHR 1,00, 95%-KI 0,97–1,04). MetALD: aHR 1,09 (KI 1,00–1,18); ALD: aHR 1,16 (KI 1,08–1,26). Alkoholbedingte Phänotypen zeigten höheres Risiko besonders bei niedrigerem CHA2DS2-VA-Score, aber 6-Jahres-Absolutrisiko-Differenzen &lt;1%.</w:t>
      </w:r>
    </w:p>
    <w:p>
      <w:r>
        <w:rPr>
          <w:b/>
          <w:sz w:val="19"/>
        </w:rPr>
        <w:t xml:space="preserve">Übertragbarkeit: </w:t>
      </w:r>
      <w:r>
        <w:rPr>
          <w:sz w:val="19"/>
        </w:rPr>
        <w:t>Südkorea-Kohorte, generalisierbar auf Bevölkerungen ähnlicher Baseline-Epidemiologie</w:t>
      </w:r>
    </w:p>
    <w:p>
      <w:r>
        <w:rPr>
          <w:color w:val="5A7D3A"/>
          <w:sz w:val="18"/>
        </w:rPr>
        <w:t>https://pubmed.ncbi.nlm.nih.gov/42887623/</w:t>
      </w:r>
    </w:p>
    <w:p>
      <w:pPr>
        <w:pStyle w:val="Heading2"/>
      </w:pPr>
      <w:r>
        <w:t>Kardiopulmonale Belastungstestung reduziert Herzinsuffizienz-Sterblichkeit bei Weißen und Hispanern</w:t>
      </w:r>
    </w:p>
    <w:p>
      <w:r>
        <w:rPr>
          <w:i/>
          <w:color w:val="666666"/>
          <w:sz w:val="18"/>
        </w:rPr>
        <w:t>Rice J et al.  ·  ESC Heart Fail  ·  27.08.2026  ·  PMID 42887014</w:t>
      </w:r>
    </w:p>
    <w:p>
      <w:r>
        <w:t>Retrospektive Kohortenstudie mit Propensity-Score-Matching an 8.355 Paarungen von HF-Patienten (2010–2023) aus TriNetX-Datenbanken zum Einsatz von kardiopulmonaler Belastungstestung innerhalb 1 Jahr nach Diagnose und Auswirkung auf Mortalität und Hospitalisierung nach Rasse/Ethnizität.</w:t>
      </w:r>
    </w:p>
    <w:p>
      <w:r>
        <w:rPr>
          <w:b/>
        </w:rPr>
        <w:t xml:space="preserve">Ergebnis: </w:t>
      </w:r>
      <w:r>
        <w:t>CPET-Nutzung insgesamt 1,27% (Weiße 1,39%, Schwarze 1,20%, Hispanier 0,69%, Asiaten 0,79%). 1-Jahres-Mortalität nach CPET: HR 0,58 (KI 0,51–0,65, p&lt;0,001) bei Weißen, HR 0,50 (KI 0,25–0,98, p=0,040) bei Hispanern; Schwarze zeigten Trend ohne Signifikanz (HR 0,70, p=0,214). HF-Hospitalisierung höher in CPET-Gruppe (Überwachungsbias).</w:t>
      </w:r>
    </w:p>
    <w:p>
      <w:r>
        <w:rPr>
          <w:b/>
          <w:sz w:val="19"/>
        </w:rPr>
        <w:t xml:space="preserve">Übertragbarkeit: </w:t>
      </w:r>
      <w:r>
        <w:rPr>
          <w:sz w:val="19"/>
        </w:rPr>
        <w:t>USA-Daten, Disparitäten-Befund ist übertragbar, Absolut-Zahlen sind nicht generalisierbar</w:t>
      </w:r>
    </w:p>
    <w:p>
      <w:r>
        <w:rPr>
          <w:color w:val="5A7D3A"/>
          <w:sz w:val="18"/>
        </w:rPr>
        <w:t>https://pubmed.ncbi.nlm.nih.gov/42887014/</w:t>
      </w:r>
    </w:p>
    <w:p>
      <w:pPr>
        <w:pStyle w:val="Heading2"/>
      </w:pPr>
      <w:r>
        <w:t>Linksventrikuläre Wandspannung vorhersagbar für neue Herzinsuffizienz</w:t>
      </w:r>
    </w:p>
    <w:p>
      <w:r>
        <w:rPr>
          <w:i/>
          <w:color w:val="666666"/>
          <w:sz w:val="18"/>
        </w:rPr>
        <w:t>White A et al.  ·  Am J Cardiol  ·  14.10.2026  ·  PMID 42874760</w:t>
      </w:r>
    </w:p>
    <w:p>
      <w:r>
        <w:t>Retrospektive Kohortenstudie von 29.246 adulten Patienten ohne prävalente HF oder ≥moderate Klappenvitien, bei denen Transthorakal-Echokardiografie 2014–2020 durchgeführt wurde; linksventrikuläre enddiastolische Wandspannung (LVEDWS) berechnet, Inzidenz-HF aus ICD-Codes, Cox-Regression mit Adjustment für Demografie, Komorbiditäten, BNP, LVEF, LV-Masse-Index.</w:t>
      </w:r>
    </w:p>
    <w:p>
      <w:r>
        <w:rPr>
          <w:b/>
        </w:rPr>
        <w:t xml:space="preserve">Ergebnis: </w:t>
      </w:r>
      <w:r>
        <w:t>Kohorte Median-Alter 59 Jahre, 54% Frauen, 11% Black. Median LVEDWS 14,5 (IQR 11,8–18,0) kdynes/cm². Follow-up maximal 8,2 Jahre (Median 3,7). 3.082 (11%) entwickelten Inzidenz-HF. Jeder 1-Unit-Anstieg LVEDWS: adjustierte HR 1,019 (95%-KI 1,014–1,024) für Inzidenz-HF, konsistent über Subgruppen.</w:t>
      </w:r>
    </w:p>
    <w:p>
      <w:r>
        <w:rPr>
          <w:b/>
          <w:sz w:val="19"/>
        </w:rPr>
        <w:t xml:space="preserve">Übertragbarkeit: </w:t>
      </w:r>
      <w:r>
        <w:rPr>
          <w:sz w:val="19"/>
        </w:rPr>
        <w:t>USA-Klinikdaten (Vanderbilt), Echokardiografie-Parameter sind technisch global standardisiert</w:t>
      </w:r>
    </w:p>
    <w:p>
      <w:r>
        <w:rPr>
          <w:color w:val="5A7D3A"/>
          <w:sz w:val="18"/>
        </w:rPr>
        <w:t>https://pubmed.ncbi.nlm.nih.gov/42874760/</w:t>
      </w:r>
    </w:p>
    <w:p>
      <w:pPr>
        <w:pStyle w:val="Heading2"/>
      </w:pPr>
      <w:r>
        <w:t>PCI-Aufschub vor TAVR sicher, aber bei komplexer KHK (SYNTAX &gt;17) erhöhtes Ischämierisiko</w:t>
      </w:r>
    </w:p>
    <w:p>
      <w:r>
        <w:rPr>
          <w:i/>
          <w:color w:val="666666"/>
          <w:sz w:val="18"/>
        </w:rPr>
        <w:t>Broeze GM et al.  ·  JACC Cardiovasc Interv  ·  12.10.2026  ·  PMID 42863875</w:t>
      </w:r>
    </w:p>
    <w:p>
      <w:r>
        <w:t>Substudie der randomisierten PRO-TAVI-Studie an 466 Patienten mit bedeutsamer koronarer Herzerkrankung und TAVR-Indikation, stratifiziert nach SYNTAX-Score (Ausmaß der KHK), verglichen PCI-Aufschub vs. PCI vor TAVR.</w:t>
      </w:r>
    </w:p>
    <w:p>
      <w:r>
        <w:rPr>
          <w:b/>
        </w:rPr>
        <w:t xml:space="preserve">Ergebnis: </w:t>
      </w:r>
      <w:r>
        <w:t>Primärer Endpunkt (Mortalität, MI, Schlaganfall, schwere Blutung) bei 1 Jahr nicht unterschiedlich zwischen Gruppen. Bei SYNTAX &gt;17: ischämischer Composite-Endpunkt höher in Aufschub-Gruppe (30,9% vs. 14,8%, adjustierte HR 2,43, 95%-KI 1,04–5,64, p=0,04). Blutungen weniger häufig bei Aufschub über alle SYNTAX-Kategorien.</w:t>
      </w:r>
    </w:p>
    <w:p>
      <w:r>
        <w:rPr>
          <w:b/>
          <w:sz w:val="19"/>
        </w:rPr>
        <w:t xml:space="preserve">Übertragbarkeit: </w:t>
      </w:r>
      <w:r>
        <w:rPr>
          <w:sz w:val="19"/>
        </w:rPr>
        <w:t>Niederlande (ZonMw-finanziert), vergleichbares System, direktübertragbar</w:t>
      </w:r>
    </w:p>
    <w:p>
      <w:r>
        <w:rPr>
          <w:color w:val="5A7D3A"/>
          <w:sz w:val="18"/>
        </w:rPr>
        <w:t>https://pubmed.ncbi.nlm.nih.gov/42863875/</w:t>
      </w:r>
    </w:p>
    <w:p>
      <w:pPr>
        <w:pStyle w:val="Heading2"/>
      </w:pPr>
      <w:r>
        <w:t>Netzhaut-Asymmetrie vorhersagbar für Herzinsuffizienz und koronare Erkrankung</w:t>
      </w:r>
    </w:p>
    <w:p>
      <w:r>
        <w:rPr>
          <w:i/>
          <w:color w:val="666666"/>
          <w:sz w:val="18"/>
        </w:rPr>
        <w:t>Liu A et al.  ·  J Am Heart Assoc  ·  06.10.2026  ·  PMID 42808435</w:t>
      </w:r>
    </w:p>
    <w:p>
      <w:r>
        <w:t>Prospektive UK-Biobank-Kohortenstudie an 46.836 Teilnehmern mit bilateraler optischer Kohärenztomografie der Retina, Follow-up bis 12,86 Jahre, Assoziation von Intereye-Asymmetrie retinaler Schichten mit kardiovaskulären Ereignissen mittels multivariater Cox-Regression.</w:t>
      </w:r>
    </w:p>
    <w:p>
      <w:r>
        <w:rPr>
          <w:b/>
        </w:rPr>
        <w:t xml:space="preserve">Ergebnis: </w:t>
      </w:r>
      <w:r>
        <w:t>Größere retinale Asymmetrie konsistent mit kardiovaskulärer Erkrankung assoziiert. Retinale Nervenfaserschicht-Asymmetrie zeigte stärkste Assoziationen: HR ~1,07 für Vorhofflimmern bis 1,15 für Herzinsuffizienz pro SD-Anstieg. Modelle mit Nervenfaserschicht-Asymmetrie verbesserten Risikostratifikation moderat gegenüber mittlerer Netzhautdicke allein. Proteomik deutete auf Verbindung mit extrazellulärer Matrix-Ummodellierung, Inflammation.</w:t>
      </w:r>
    </w:p>
    <w:p>
      <w:r>
        <w:rPr>
          <w:b/>
          <w:sz w:val="19"/>
        </w:rPr>
        <w:t xml:space="preserve">Übertragbarkeit: </w:t>
      </w:r>
      <w:r>
        <w:rPr>
          <w:sz w:val="19"/>
        </w:rPr>
        <w:t>UK-Daten, Screening-Marker ohne unmittelbare deutsche Umsetzung verfügbar</w:t>
      </w:r>
    </w:p>
    <w:p>
      <w:r>
        <w:rPr>
          <w:color w:val="5A7D3A"/>
          <w:sz w:val="18"/>
        </w:rPr>
        <w:t>https://pubmed.ncbi.nlm.nih.gov/42808435/</w:t>
      </w:r>
    </w:p>
    <w:p>
      <w:pPr>
        <w:pStyle w:val="Heading1"/>
      </w:pPr>
      <w:r>
        <w:t>Aufgenommen am 18.10.2026</w:t>
      </w:r>
    </w:p>
    <w:p>
      <w:pPr>
        <w:pStyle w:val="Heading2"/>
      </w:pPr>
      <w:r>
        <w:t>Mittlere sekundäre Mitralinsuffizienz nach optimierter Therapie erhöht Sterblichkeit und Hospitalisierungen</w:t>
      </w:r>
    </w:p>
    <w:p>
      <w:r>
        <w:rPr>
          <w:i/>
          <w:color w:val="666666"/>
          <w:sz w:val="18"/>
        </w:rPr>
        <w:t>Ferrero C et al.  ·  ESC Heart Fail  ·  17.10.2026  ·  PMID 42888505</w:t>
      </w:r>
    </w:p>
    <w:p>
      <w:r>
        <w:t>Kohortenstudie mit 2.468 Patienten mit Herzinsuffizienz, bei denen echokardiographisch Mitralklappenfunktion bei Baseline und nach 12 Monaten optimierter leitliniengerechter medikamentöser Therapie beurteilt wurde; Follow-up bis 6,9 Jahre auf primären Endpunkt (Sterblichkeit oder Herzinsuffizienz-Hospitalisierung).</w:t>
      </w:r>
    </w:p>
    <w:p>
      <w:r>
        <w:rPr>
          <w:b/>
        </w:rPr>
        <w:t xml:space="preserve">Ergebnis: </w:t>
      </w:r>
      <w:r>
        <w:t>80,5 % der Patienten hatten keine oder milde Mitralinsuffizienz, 15,6 % moderate und 3,9 % schwere. Bei moderater Mitralinsuffizienz nach 12 Monaten zeigten sich gegenüber keine/milder Insuffizienz erhöhte Hazard Ratios für den primären Endpunkt (HR 1,69; 95 %-KI 1,47–1,95), erhöhte Sterblichkeit (HR 1,54; 95 %-KI 1,32–1,79) und rezidivierende Hospitalisierungen (IRR 2,17; 95 %-KI 1,81–2,60). Hospitalisierungsrate 9,03 pro 100 Personenjahre ohne/mild vs. 20,0 bei moderat vs. 26,1 bei schwerer Insuffizienz.</w:t>
      </w:r>
    </w:p>
    <w:p>
      <w:r>
        <w:rPr>
          <w:b/>
          <w:sz w:val="19"/>
        </w:rPr>
        <w:t xml:space="preserve">Übertragbarkeit: </w:t>
      </w:r>
      <w:r>
        <w:rPr>
          <w:sz w:val="19"/>
        </w:rPr>
        <w:t>Spanische und italienische Universitätskliniken, direkt übertragbar auf deutsches Versorgungssystem.</w:t>
      </w:r>
    </w:p>
    <w:p>
      <w:r>
        <w:rPr>
          <w:color w:val="5A7D3A"/>
          <w:sz w:val="18"/>
        </w:rPr>
        <w:t>https://pubmed.ncbi.nlm.nih.gov/42888505/</w:t>
      </w:r>
    </w:p>
    <w:p>
      <w:pPr>
        <w:pStyle w:val="Heading2"/>
      </w:pPr>
      <w:r>
        <w:t>Versorgungslücken bei Herzinsuffizienz-Therapie in Skandinavien quantifiziert</w:t>
      </w:r>
    </w:p>
    <w:p>
      <w:r>
        <w:rPr>
          <w:i/>
          <w:color w:val="666666"/>
          <w:sz w:val="18"/>
        </w:rPr>
        <w:t>Norhammar A et al.  ·  Open Heart  ·  16.10.2026  ·  PMID 42888009</w:t>
      </w:r>
    </w:p>
    <w:p>
      <w:r>
        <w:t>Zweländer-Analyse (Schweden, Norwegen) mit nationalen Registerdaten zur Implementierung moderner Herzinsuffizienz-Therapie (GDMT, Device-Therapie) nach ESC-Leitlinien; Vergleich von Therapieintensität und Outcomes zwischen beiden Ländern und Versorgungsregionen.</w:t>
      </w:r>
    </w:p>
    <w:p>
      <w:r>
        <w:rPr>
          <w:b/>
        </w:rPr>
        <w:t xml:space="preserve">Ergebnis: </w:t>
      </w:r>
      <w:r>
        <w:t>Konkrete Implementierungsraten und Gaps in der Verordnung neuer Medikamentenklassen (SGLT2-Hemmer, GLP-1-RA) und Device-Therapien werden dokumentiert; Unterschiede in Therapieintensität zwischen Schweden und Norwegen sowie zwischen urban und rural gelegenen Zentren identifiziert; Assoziationen mit Krankenhaus-Readmission und Mortalität.</w:t>
      </w:r>
    </w:p>
    <w:p>
      <w:r>
        <w:rPr>
          <w:b/>
          <w:sz w:val="19"/>
        </w:rPr>
        <w:t xml:space="preserve">Übertragbarkeit: </w:t>
      </w:r>
      <w:r>
        <w:rPr>
          <w:sz w:val="19"/>
        </w:rPr>
        <w:t>Skandinavische Gesundheitssysteme mit ähnlicher Dokumentation und Struktur wie deutsches DMP.</w:t>
      </w:r>
    </w:p>
    <w:p>
      <w:r>
        <w:rPr>
          <w:color w:val="5A7D3A"/>
          <w:sz w:val="18"/>
        </w:rPr>
        <w:t>https://pubmed.ncbi.nlm.nih.gov/42888009/</w:t>
      </w:r>
    </w:p>
    <w:p>
      <w:pPr>
        <w:pStyle w:val="Heading2"/>
      </w:pPr>
      <w:r>
        <w:t>Vier Vorhoflimmer-Phänotypen nach Komorbiditätsprofil: Adhärenz zu integrierter Versorgung schützt alle</w:t>
      </w:r>
    </w:p>
    <w:p>
      <w:r>
        <w:rPr>
          <w:i/>
          <w:color w:val="666666"/>
          <w:sz w:val="18"/>
        </w:rPr>
        <w:t>Mantovani M et al.  ·  Heart Rhythm  ·  16.10.2026  ·  PMID 42887625</w:t>
      </w:r>
    </w:p>
    <w:p>
      <w:r>
        <w:t>Prospektive Kohortenstudie mit 1.233 Vorhofflimmer-Patienten; Latente-Klassen-Analyse von 11 kardiovaskulären und nicht-kardiovaskulären Komorbiditäten zur Identifikation klinischer Phänotypen; Median-Follow-up 542 Tage; primärer Endpunkt Kompositum aus Sterblichkeit, thromboembolischen Ereignissen und akutem Koronarsyndrom.</w:t>
      </w:r>
    </w:p>
    <w:p>
      <w:r>
        <w:rPr>
          <w:b/>
        </w:rPr>
        <w:t xml:space="preserve">Ergebnis: </w:t>
      </w:r>
      <w:r>
        <w:t>Vier LCA-Phänotypen: Low comorbidity (31,5 %), Cardio-metabolic (33,9 %), Elderly comorbid (22,9 %), Atherosclerotic-HF (11,8 %). Primärer Endpunkt trat bei 22,7 % ein. Versus Low-comorbidity-Gruppe zeigten sich erhöhte aHR: Cardio-metabolic aHR 1,64 (95 %-KI 1,13–2,39), Elderly comorbid aHR 1,62 (95 %-KI 1,09–2,42), Atherosclerotic-HF aHR 2,81 (95 %-KI 1,83–4,34). Adhärenz zu integrierter Versorgung senkte Risiko in allen Phänotypen ohne signifikante Heterogenität.</w:t>
      </w:r>
    </w:p>
    <w:p>
      <w:r>
        <w:rPr>
          <w:b/>
          <w:sz w:val="19"/>
        </w:rPr>
        <w:t xml:space="preserve">Übertragbarkeit: </w:t>
      </w:r>
      <w:r>
        <w:rPr>
          <w:sz w:val="19"/>
        </w:rPr>
        <w:t>Italienische Universitätsklinik (Modena), Versorgungsforschung übertragbar auf strukturierte deutsche Vorhoflimmer-Programme.</w:t>
      </w:r>
    </w:p>
    <w:p>
      <w:r>
        <w:rPr>
          <w:color w:val="5A7D3A"/>
          <w:sz w:val="18"/>
        </w:rPr>
        <w:t>https://pubmed.ncbi.nlm.nih.gov/42887625/</w:t>
      </w:r>
    </w:p>
    <w:p>
      <w:pPr>
        <w:pStyle w:val="Heading2"/>
      </w:pPr>
      <w:r>
        <w:t>Interatrialer Shunt: sicher bei HFrEF, aber riskant bei HFpEF</w:t>
      </w:r>
    </w:p>
    <w:p>
      <w:r>
        <w:rPr>
          <w:i/>
          <w:color w:val="666666"/>
          <w:sz w:val="18"/>
        </w:rPr>
        <w:t>Rodés-Cabau J et al.  ·  JACC Heart Fail  ·  13.10.2026  ·  PMID 42886087</w:t>
      </w:r>
    </w:p>
    <w:p>
      <w:r>
        <w:t>Randomisierte Studie RELIEVE-HF mit 605 eingeschlossenen und 508 randomisierten Patienten (370 mit Shunt-Implantationsversuch) zur Sicherheit und Dauerhaftigkeit eines Interatrial-Shunts; Stratifizierung nach Ejektionsfraktion (HFrEF ≤40 %, HFpEF &gt;40 %); Follow-up 2 Jahre mit Fokus auf Major Adverse Cardiovascular or Neurological Events (MACNE), ernsthaft unerwünschte Ereignisse und Nierenfunktion.</w:t>
      </w:r>
    </w:p>
    <w:p>
      <w:r>
        <w:rPr>
          <w:b/>
        </w:rPr>
        <w:t xml:space="preserve">Ergebnis: </w:t>
      </w:r>
      <w:r>
        <w:t>Implantationserfolg 99,7 % (369/370). Keine Shunt- oder Prozedur-assoziierten MACNE über 2 Jahre (0 %; 95 %-KI 0–0,9 %); Shunt-Offenheit 99,4 %. Bei HFrEF keine erhöhte MACNE, kein erhöhtes Blutungsrisiko, keine Nierenfunktionsverschlechterung. Bei HFpEF: erhöhte MACNE, höhere ernsthafte Ereignisrate, erhöhtes Blutungsrisiko, Nierenfunktionsverschlechterung.</w:t>
      </w:r>
    </w:p>
    <w:p>
      <w:r>
        <w:rPr>
          <w:b/>
          <w:sz w:val="19"/>
        </w:rPr>
        <w:t xml:space="preserve">Übertragbarkeit: </w:t>
      </w:r>
      <w:r>
        <w:rPr>
          <w:sz w:val="19"/>
        </w:rPr>
        <w:t>Multinationale Studie mit deutschen und europäischen Zentren, direkt auf deutsches System übertragbar.</w:t>
      </w:r>
    </w:p>
    <w:p>
      <w:r>
        <w:rPr>
          <w:color w:val="5A7D3A"/>
          <w:sz w:val="18"/>
        </w:rPr>
        <w:t>https://pubmed.ncbi.nlm.nih.gov/42886087/</w:t>
      </w:r>
    </w:p>
    <w:p>
      <w:pPr>
        <w:pStyle w:val="Heading2"/>
      </w:pPr>
      <w:r>
        <w:t>MicroRNA- und Zytokin-Signatur der kardialen Kachexie identifiziert</w:t>
      </w:r>
    </w:p>
    <w:p>
      <w:r>
        <w:rPr>
          <w:i/>
          <w:color w:val="666666"/>
          <w:sz w:val="18"/>
        </w:rPr>
        <w:t>Tambaro F et al.  ·  ESC Heart Fail  ·  27.08.2026  ·  PMID 42853063</w:t>
      </w:r>
    </w:p>
    <w:p>
      <w:r>
        <w:t>Fall-Kontroll-Studie mit 25 Herzinsuffizienz-Patienten und 10 Kontrollen; Profiling von zirkulierenden microRNAs (miR-15b, miR-29b, miR-133a, miR-486) und Wachstumsfaktoren (GDF-15, FGF-21); Assoziationen mit kardialer Kachexie (≥6 % unbeabsichtigter Gewichtsverlust in 6 Monaten), Ejektionsfraktion und NYHA-Klasse.</w:t>
      </w:r>
    </w:p>
    <w:p>
      <w:r>
        <w:rPr>
          <w:b/>
        </w:rPr>
        <w:t xml:space="preserve">Ergebnis: </w:t>
      </w:r>
      <w:r>
        <w:t>CHF-Patienten gegenüber Kontrollen: niedrigere miR-15b, miR-29b, miR-133a, miR-486 (alle p&lt;0,01); erhöhtes GDF-15 (p&lt;0,001). FGF-21 erhöht bei Kachexie (p=0,012), bei HFrEF vs. HFpEF (p=0,039), bei NYHA III-IV vs. I-II (p=0,05). miR-29b und FGF-21 zeigen Assoziationen mit Kachexie und funktioneller Beeinträchtigung.</w:t>
      </w:r>
    </w:p>
    <w:p>
      <w:r>
        <w:rPr>
          <w:b/>
          <w:sz w:val="19"/>
        </w:rPr>
        <w:t xml:space="preserve">Übertragbarkeit: </w:t>
      </w:r>
      <w:r>
        <w:rPr>
          <w:sz w:val="19"/>
        </w:rPr>
        <w:t>Italienische Universitätklinik (Rom), molekulare Grundlagen zur Therapiestratifizierung.</w:t>
      </w:r>
    </w:p>
    <w:p>
      <w:r>
        <w:rPr>
          <w:color w:val="5A7D3A"/>
          <w:sz w:val="18"/>
        </w:rPr>
        <w:t>https://pubmed.ncbi.nlm.nih.gov/42853063/</w:t>
      </w:r>
    </w:p>
    <w:p>
      <w:pPr>
        <w:pStyle w:val="Heading2"/>
      </w:pPr>
      <w:r>
        <w:t>Prognostische Marker für Langzeitüberleben mit Dauerpumpen-LVAD jenseits von 5 Jahren</w:t>
      </w:r>
    </w:p>
    <w:p>
      <w:r>
        <w:rPr>
          <w:i/>
          <w:color w:val="666666"/>
          <w:sz w:val="18"/>
        </w:rPr>
        <w:t>Velásquez-Silva C et al.  ·  ESC Heart Fail  ·  27.08.2026  ·  PMID 42841476</w:t>
      </w:r>
    </w:p>
    <w:p>
      <w:r>
        <w:t>Bizentrische Landmark-Analyse von 201 Patienten mit kontinuierlichem LVAD-Support ≥5 Jahre; Untersuchung klinischer, laborchemischer, echokardiographischer und hämodynamischer Parameter zum 5-Jahres-Zeitpunkt als Prädiktoren für Mortalität danach; Medial-Follow-up nach dem Landmark 6,9 Jahre.</w:t>
      </w:r>
    </w:p>
    <w:p>
      <w:r>
        <w:rPr>
          <w:b/>
        </w:rPr>
        <w:t xml:space="preserve">Ergebnis: </w:t>
      </w:r>
      <w:r>
        <w:t>189 Patienten mit vollständigen Daten; 77 Todesfälle während Post-Landmark-Follow-up. Unabhängige Mortalitätsprädiktoren: Alter (HR 1,04 pro Jahr; p=0,002), Hämoglobin (HR 0,84 pro mmol/l; p=0,016), MELD-XI-Score (HR 1,10 pro Einheit; p&lt;0,001), ICD-Präsenz (HR 1,60; p=0,049). Diskriminierung akzeptabel (Harrell's C-Index ~0,74).</w:t>
      </w:r>
    </w:p>
    <w:p>
      <w:r>
        <w:rPr>
          <w:b/>
          <w:sz w:val="19"/>
        </w:rPr>
        <w:t xml:space="preserve">Übertragbarkeit: </w:t>
      </w:r>
      <w:r>
        <w:rPr>
          <w:sz w:val="19"/>
        </w:rPr>
        <w:t>Deutsche Zentren dabei (Bochum, Leipzig), vergleichbare LVAD-Programme und Dokumentation.</w:t>
      </w:r>
    </w:p>
    <w:p>
      <w:r>
        <w:rPr>
          <w:color w:val="5A7D3A"/>
          <w:sz w:val="18"/>
        </w:rPr>
        <w:t>https://pubmed.ncbi.nlm.nih.gov/42841476/</w:t>
      </w:r>
    </w:p>
    <w:p>
      <w:pPr>
        <w:pStyle w:val="Heading1"/>
      </w:pPr>
      <w:r>
        <w:t>Aufgenommen am 17.10.2026</w:t>
      </w:r>
    </w:p>
    <w:p>
      <w:pPr>
        <w:pStyle w:val="Heading2"/>
      </w:pPr>
      <w:r>
        <w:t>Belgische Hausarzt-Studie zeigt: korrekte Kodierung verbessert Herzinsuffizienz-Outcomes langfristig</w:t>
      </w:r>
    </w:p>
    <w:p>
      <w:r>
        <w:rPr>
          <w:i/>
          <w:color w:val="666666"/>
          <w:sz w:val="18"/>
        </w:rPr>
        <w:t>Raat W et al.  ·  Open Heart  ·  16.10.2026  ·  PMID 42888010</w:t>
      </w:r>
    </w:p>
    <w:p>
      <w:r>
        <w:t>Belgische Kohortenstudie (OSCAR-HF) an 102 Hausarztpraxen zu langfristigen Ergebnissen bei Herzinsuffizienz-Patienten und zum Einfluss diagnostischer Kodierung in der Primärversorgung.</w:t>
      </w:r>
    </w:p>
    <w:p>
      <w:r>
        <w:rPr>
          <w:b/>
        </w:rPr>
        <w:t xml:space="preserve">Ergebnis: </w:t>
      </w:r>
      <w:r>
        <w:t>Die Studie untersucht prospektiv Sterblichkeit und Krankenhauseinweisungen bei in Hausarztpraxen identifizierten Herzinsuffizienz-Patienten und korreliert diese mit korrekter diagnostischer Kodierung; konkrete Outcome-Zahlen werden berichtet.</w:t>
      </w:r>
    </w:p>
    <w:p>
      <w:r>
        <w:rPr>
          <w:b/>
          <w:sz w:val="19"/>
        </w:rPr>
        <w:t xml:space="preserve">Übertragbarkeit: </w:t>
      </w:r>
      <w:r>
        <w:rPr>
          <w:sz w:val="19"/>
        </w:rPr>
        <w:t>Belgien, vergleichbares europäisches Gesundheitssystem und Hausarzt-zentrierte Versorgung.</w:t>
      </w:r>
    </w:p>
    <w:p>
      <w:r>
        <w:rPr>
          <w:color w:val="5A7D3A"/>
          <w:sz w:val="18"/>
        </w:rPr>
        <w:t>https://pubmed.ncbi.nlm.nih.gov/42888010/</w:t>
      </w:r>
    </w:p>
    <w:p>
      <w:pPr>
        <w:pStyle w:val="Heading2"/>
      </w:pPr>
      <w:r>
        <w:t>Sacubitril hemmt Arrhythmien über NPR-C-Aktivierung: Grundlagenmechanismus mit klinischem Entwicklungspotenzial</w:t>
      </w:r>
    </w:p>
    <w:p>
      <w:r>
        <w:rPr>
          <w:i/>
          <w:color w:val="666666"/>
          <w:sz w:val="18"/>
        </w:rPr>
        <w:t>Vogel MJ et al.  ·  ESC Heart Fail  ·  27.08.2026  ·  PMID 42887015</w:t>
      </w:r>
    </w:p>
    <w:p>
      <w:r>
        <w:t>Deutsche Mechanismusstudien an isolierten Kaninchen- und humanen induzierten pluripotenten Stammzellen-abgeleiteten Kardiomyozyten, die belegen, dass Sacubitril antiarrhythmisch durch direkte Aktivierung des natriuretischen Peptid-Rezeptors-C wirkt.</w:t>
      </w:r>
    </w:p>
    <w:p>
      <w:r>
        <w:rPr>
          <w:b/>
        </w:rPr>
        <w:t xml:space="preserve">Ergebnis: </w:t>
      </w:r>
      <w:r>
        <w:t>CNP und der NPR-C-Agonist cANP4-23 supprimierten pathologisches diastolisches sarkoplasmatisches Retikulum-Calcium-Leck in Maus-Myozyten (induziert durch ATX-II), dieser Effekt wurde durch NPR-C-Blockade aufgehoben. Sacubitrilat zeigte denselben Mechanismus; in-silico-Modellierung identifizierte plausible Bindungstasche am NPR-C-Dimer.</w:t>
      </w:r>
    </w:p>
    <w:p>
      <w:r>
        <w:rPr>
          <w:b/>
          <w:sz w:val="19"/>
        </w:rPr>
        <w:t xml:space="preserve">Übertragbarkeit: </w:t>
      </w:r>
      <w:r>
        <w:rPr>
          <w:sz w:val="19"/>
        </w:rPr>
        <w:t>Deutsche Universitäten, Grundlagenmechanismus mit klarem Path-to-Clinic für antiarrhythmische Therapie.</w:t>
      </w:r>
    </w:p>
    <w:p>
      <w:r>
        <w:rPr>
          <w:color w:val="5A7D3A"/>
          <w:sz w:val="18"/>
        </w:rPr>
        <w:t>https://pubmed.ncbi.nlm.nih.gov/42887015/</w:t>
      </w:r>
    </w:p>
    <w:p>
      <w:pPr>
        <w:pStyle w:val="Heading2"/>
      </w:pPr>
      <w:r>
        <w:t>Katheter-Ablation bei Vorhofflimmern senkt moderate Trikuspidalinsuffizienz um 51 Prozent</w:t>
      </w:r>
    </w:p>
    <w:p>
      <w:r>
        <w:rPr>
          <w:i/>
          <w:color w:val="666666"/>
          <w:sz w:val="18"/>
        </w:rPr>
        <w:t>Yim J et al.  ·  Open Heart  ·  09.10.2026  ·  PMID 42869492</w:t>
      </w:r>
    </w:p>
    <w:p>
      <w:r>
        <w:t>Systematische Übersichtsarbeit mit Metaanalyse von 17 Studien mit 2747 Patienten zu Katheter-Ablation bei Vorhofflimmern und deren Einfluss auf die Schweregrad der Trikuspidalinsuffizienz.</w:t>
      </w:r>
    </w:p>
    <w:p>
      <w:r>
        <w:rPr>
          <w:b/>
        </w:rPr>
        <w:t xml:space="preserve">Ergebnis: </w:t>
      </w:r>
      <w:r>
        <w:t>AF-Ablation war mit niedrigerer Prävalenz von moderater oder höhergradiger Trikuspidalinsuffizienz assoziiert (Risiko-Differenz −0,21, 95%-KI −0,33 bis −0,09; gepooltes Risiko-Verhältnis 0,49, 95%-KI 0,40 bis 0,60). Bei Patienten, die Sinusrhythmus behielten, war die Verbesserung größer als bei Rezidiv-Vorhofflimmern (Risiko-Differenz −0,28, 95%-KI −0,55 bis −0,01).</w:t>
      </w:r>
    </w:p>
    <w:p>
      <w:r>
        <w:rPr>
          <w:b/>
          <w:sz w:val="19"/>
        </w:rPr>
        <w:t xml:space="preserve">Übertragbarkeit: </w:t>
      </w:r>
      <w:r>
        <w:rPr>
          <w:sz w:val="19"/>
        </w:rPr>
        <w:t>Internationale Studien mit standardisierter Echokardiografie, Metaanalyse auf europäische Versorgung übertragbar.</w:t>
      </w:r>
    </w:p>
    <w:p>
      <w:r>
        <w:rPr>
          <w:color w:val="5A7D3A"/>
          <w:sz w:val="18"/>
        </w:rPr>
        <w:t>https://pubmed.ncbi.nlm.nih.gov/42869492/</w:t>
      </w:r>
    </w:p>
    <w:p>
      <w:pPr>
        <w:pStyle w:val="Heading2"/>
      </w:pPr>
      <w:r>
        <w:t>KI-Modell prognostiziert Kardiomyopathie bei ATTR-Amyloidose mit 100-prozentiger Genauigkeit</w:t>
      </w:r>
    </w:p>
    <w:p>
      <w:r>
        <w:rPr>
          <w:i/>
          <w:color w:val="666666"/>
          <w:sz w:val="18"/>
        </w:rPr>
        <w:t>Ordine L et al.  ·  Open Heart  ·  09.10.2026  ·  PMID 42869491</w:t>
      </w:r>
    </w:p>
    <w:p>
      <w:r>
        <w:t>Entwicklung eines multimodalen Machine-Learning-Modells, das klinische, elektrokardiografische und echokardiografische Daten bei 97 Patienten mit genetisch bestätigter ATTR-Amyloidose ohne initialen Herzbefall zur Vorhersage von Kardiomyopathie kombiniert.</w:t>
      </w:r>
    </w:p>
    <w:p>
      <w:r>
        <w:rPr>
          <w:b/>
        </w:rPr>
        <w:t xml:space="preserve">Ergebnis: </w:t>
      </w:r>
      <w:r>
        <w:t>Das multimodale Ensemble erreichte bei der Vorhersage einer ATTR-Kardiomyopathie im Test-Set 100-prozentige Genauigkeit mit F1-Score 1,0 (AUC 0,74–0,89 in Unimodal-Modellen). Über mittlere Follow-up von 2,5±2,2 Jahren entwickelten 15 von 97 Patienten Kardiomyopathie.</w:t>
      </w:r>
    </w:p>
    <w:p>
      <w:r>
        <w:rPr>
          <w:b/>
          <w:sz w:val="19"/>
        </w:rPr>
        <w:t xml:space="preserve">Übertragbarkeit: </w:t>
      </w:r>
      <w:r>
        <w:rPr>
          <w:sz w:val="19"/>
        </w:rPr>
        <w:t>Italienische Zentren, Methodik auf europäische Screening-Programme für seltene Erkrankungen übertragbar.</w:t>
      </w:r>
    </w:p>
    <w:p>
      <w:r>
        <w:rPr>
          <w:color w:val="5A7D3A"/>
          <w:sz w:val="18"/>
        </w:rPr>
        <w:t>https://pubmed.ncbi.nlm.nih.gov/42869491/</w:t>
      </w:r>
    </w:p>
    <w:p>
      <w:pPr>
        <w:pStyle w:val="Heading2"/>
      </w:pPr>
      <w:r>
        <w:t>Point-of-Care-Troponin-Schnelltest ermöglicht Ausschluss von Herzinfarkt in 2 Stunden bei 80 Prozent</w:t>
      </w:r>
    </w:p>
    <w:p>
      <w:r>
        <w:rPr>
          <w:i/>
          <w:color w:val="666666"/>
          <w:sz w:val="18"/>
        </w:rPr>
        <w:t>Koechlin L et al.  ·  Am Heart J  ·  13.10.2026  ·  PMID 42869272</w:t>
      </w:r>
    </w:p>
    <w:p>
      <w:r>
        <w:t>Validierung eines assay-spezifischen hs-cTnI-SPINCHIP-0/2h-Algorithmus zur Schnelltriage von Patienten mit Verdacht auf Myokardinfarkt in der Notaufnahme an Schweizer Universitätskliniken.</w:t>
      </w:r>
    </w:p>
    <w:p>
      <w:r>
        <w:rPr>
          <w:b/>
        </w:rPr>
        <w:t xml:space="preserve">Ergebnis: </w:t>
      </w:r>
      <w:r>
        <w:t>Der Algorithmus ermöglichte definitive Triage innerhalb von 2 Stunden bei etwa 80 Prozent der Patienten mit sehr hoher Sicherheit für Ausschluss und hoher Genauigkeit für Einschluss eines Myokardinfarkts. Interne Validierung durchgeführt.</w:t>
      </w:r>
    </w:p>
    <w:p>
      <w:r>
        <w:rPr>
          <w:b/>
          <w:sz w:val="19"/>
        </w:rPr>
        <w:t xml:space="preserve">Übertragbarkeit: </w:t>
      </w:r>
      <w:r>
        <w:rPr>
          <w:sz w:val="19"/>
        </w:rPr>
        <w:t>Schweiz, europäische Notaufnahmen mit ähnlicher Infrastruktur und Triage-Anforderungen.</w:t>
      </w:r>
    </w:p>
    <w:p>
      <w:r>
        <w:rPr>
          <w:color w:val="5A7D3A"/>
          <w:sz w:val="18"/>
        </w:rPr>
        <w:t>https://pubmed.ncbi.nlm.nih.gov/42869272/</w:t>
      </w:r>
    </w:p>
    <w:p>
      <w:pPr>
        <w:pStyle w:val="Heading2"/>
      </w:pPr>
      <w:r>
        <w:t>Leitlinien-gerechte Therapie und Entwässerung bei akuter Herzinsuffizienz: Implementierungsergebnisse</w:t>
      </w:r>
    </w:p>
    <w:p>
      <w:r>
        <w:rPr>
          <w:i/>
          <w:color w:val="666666"/>
          <w:sz w:val="18"/>
        </w:rPr>
        <w:t>Ivey-Miranda JB et al.  ·  Eur J Heart Fail  ·  13.10.2026  ·  PMID 42866921</w:t>
      </w:r>
    </w:p>
    <w:p>
      <w:r>
        <w:t>Übersichtsarbeit zur Umsetzung von Leitlinien-geleiteter medikamentöser Therapie und Entwässerungsstrategien bei akuter Herzinsuffizienz unter Beteiligung internationaler Experten aus USA, Polen, Niederlanden und Spanien.</w:t>
      </w:r>
    </w:p>
    <w:p>
      <w:r>
        <w:rPr>
          <w:b/>
        </w:rPr>
        <w:t xml:space="preserve">Ergebnis: </w:t>
      </w:r>
      <w:r>
        <w:t>Die Übersichtsarbeit analysiert Implementierungslücken zwischen evidenzbasierter Therapie und klinischer Praxis bei akuter Herzinsuffizienz; benennt konkrete Barrieren und bietet Lösungsansätze für optimierte Entwässerungsprotokolle und GDMT-Eskalation.</w:t>
      </w:r>
    </w:p>
    <w:p>
      <w:r>
        <w:rPr>
          <w:b/>
          <w:sz w:val="19"/>
        </w:rPr>
        <w:t xml:space="preserve">Übertragbarkeit: </w:t>
      </w:r>
      <w:r>
        <w:rPr>
          <w:sz w:val="19"/>
        </w:rPr>
        <w:t>Europäische und nordamerikanische Kliniken mit vergleichbaren Notaufnahme- und Intensivstrukturen.</w:t>
      </w:r>
    </w:p>
    <w:p>
      <w:r>
        <w:rPr>
          <w:color w:val="5A7D3A"/>
          <w:sz w:val="18"/>
        </w:rPr>
        <w:t>https://pubmed.ncbi.nlm.nih.gov/42866921/</w:t>
      </w:r>
    </w:p>
    <w:p>
      <w:pPr>
        <w:pStyle w:val="Heading1"/>
      </w:pPr>
      <w:r>
        <w:t>Aufgenommen am 16.10.2026</w:t>
      </w:r>
    </w:p>
    <w:p>
      <w:pPr>
        <w:pStyle w:val="Heading2"/>
      </w:pPr>
      <w:r>
        <w:t>Koronare Mikrogefäßerkrankung bei MINOCA mit erhöhtem Mortalitätsrisiko</w:t>
      </w:r>
    </w:p>
    <w:p>
      <w:r>
        <w:rPr>
          <w:i/>
          <w:color w:val="666666"/>
          <w:sz w:val="18"/>
        </w:rPr>
        <w:t>Carrington JG et al.  ·  Circ Cardiovasc Interv  ·  15.10.2026  ·  PMID 42877957</w:t>
      </w:r>
    </w:p>
    <w:p>
      <w:r>
        <w:t>Prospektive Kohorte (622 Patienten, 2012–2022) mit invasiver Koronarfunktionsprüfung zur Häufigkeit und Prognose der koronaren Mikrogefäßerkrankung (CMD) bei MINOCA und ANOCA.</w:t>
      </w:r>
    </w:p>
    <w:p>
      <w:r>
        <w:rPr>
          <w:b/>
        </w:rPr>
        <w:t xml:space="preserve">Ergebnis: </w:t>
      </w:r>
      <w:r>
        <w:t>CMD-Prävalenz: 71% bei MINOCA vs. 64% bei ANOCA (p=0,271); endothelium-unabhängige CMD häufiger bei MINOCA (41% vs. 21%, p&lt;0,001). MACE über Median 4,5 Jahre: 40% bei MINOCA vs. 11% bei ANOCA (adjustiertes HR 2,4, p=0,001). CMD prädikte höhere MACE in MINOCA (HR 3,6, 95%-KI 1,1–12,0) und ANOCA (HR 7,9, 95%-KI 2,9–21,8).</w:t>
      </w:r>
    </w:p>
    <w:p>
      <w:r>
        <w:rPr>
          <w:b/>
          <w:sz w:val="19"/>
        </w:rPr>
        <w:t xml:space="preserve">Übertragbarkeit: </w:t>
      </w:r>
      <w:r>
        <w:rPr>
          <w:sz w:val="19"/>
        </w:rPr>
        <w:t>USA-Klinikdaten; Sicherheitsbefund und Prognosestratifizierung übertragbar</w:t>
      </w:r>
    </w:p>
    <w:p>
      <w:r>
        <w:rPr>
          <w:color w:val="5A7D3A"/>
          <w:sz w:val="18"/>
        </w:rPr>
        <w:t>https://pubmed.ncbi.nlm.nih.gov/42877957/</w:t>
      </w:r>
    </w:p>
    <w:p>
      <w:pPr>
        <w:pStyle w:val="Heading2"/>
      </w:pPr>
      <w:r>
        <w:t>Frauen unterrepräsentiert in Herzinsuffizienz-Studien, möglicherweise besseres Ansprechen</w:t>
      </w:r>
    </w:p>
    <w:p>
      <w:r>
        <w:rPr>
          <w:i/>
          <w:color w:val="666666"/>
          <w:sz w:val="18"/>
        </w:rPr>
        <w:t>Fazzini L et al.  ·  Eur J Heart Fail  ·  15.10.2026  ·  PMID 42876202</w:t>
      </w:r>
    </w:p>
    <w:p>
      <w:r>
        <w:t>Systematische Übersichtsarbeit und Metaanalyse von 56 RCTs zur Geschlechterdifferenz bei Herzinsuffizienz-Therapien hinsichtlich Patientenrekrutierung und Therapieeffekte.</w:t>
      </w:r>
    </w:p>
    <w:p>
      <w:r>
        <w:rPr>
          <w:b/>
        </w:rPr>
        <w:t xml:space="preserve">Ergebnis: </w:t>
      </w:r>
      <w:r>
        <w:t>Frauenanteil nur 27,0% (95%-KI: 22,0–32,4%) in Medikamentenstudien und 25,3% (95%-KI: 21,0–29,9%) in Device-Studien. In HFpEF-Studien höher (49,6%) als in HFrEF (21,0%). Pooled Sex-Interaktion für Hazard Ratio 0,94 (95%-KI: 0,89–1,01), für Risk Ratio 0,81 (95%-KI: 0,68–0,96) – deutet auf potenziell besseres Benefit für Frauen hin.</w:t>
      </w:r>
    </w:p>
    <w:p>
      <w:r>
        <w:rPr>
          <w:b/>
          <w:sz w:val="19"/>
        </w:rPr>
        <w:t xml:space="preserve">Übertragbarkeit: </w:t>
      </w:r>
      <w:r>
        <w:rPr>
          <w:sz w:val="19"/>
        </w:rPr>
        <w:t>Internationale RCT-Daten, Leitlinien-relevante Frage der Geschlechtergerechtigkeit</w:t>
      </w:r>
    </w:p>
    <w:p>
      <w:r>
        <w:rPr>
          <w:color w:val="5A7D3A"/>
          <w:sz w:val="18"/>
        </w:rPr>
        <w:t>https://pubmed.ncbi.nlm.nih.gov/42876202/</w:t>
      </w:r>
    </w:p>
    <w:p>
      <w:pPr>
        <w:pStyle w:val="Heading2"/>
      </w:pPr>
      <w:r>
        <w:t>Elastische Unterschenkelbinde verbessert Diuretika-Effizienz bei dekompensierter Herzinsuffizienz</w:t>
      </w:r>
    </w:p>
    <w:p>
      <w:r>
        <w:rPr>
          <w:i/>
          <w:color w:val="666666"/>
          <w:sz w:val="18"/>
        </w:rPr>
        <w:t>Suppadungsuk S et al.  ·  Eur J Heart Fail  ·  14.10.2026  ·  PMID 42874074</w:t>
      </w:r>
    </w:p>
    <w:p>
      <w:r>
        <w:t>Retrospektive Kohortenstudie (n=176 Patienten, Mayo Clinic 2007–2017) zur Auswirkung von Unterschenkel-Kompressionsbinden auf Diuretika-Effizienz bei akut dekompensierter Herzinsuffizienz (ADHF) mit Diuretika-Resistenz.</w:t>
      </w:r>
    </w:p>
    <w:p>
      <w:r>
        <w:rPr>
          <w:b/>
        </w:rPr>
        <w:t xml:space="preserve">Ergebnis: </w:t>
      </w:r>
      <w:r>
        <w:t>Nach Anlegen der Binde: durchschnittliche tägliche Schleifendiuretika-Dosis um 1,19 mg pro 40-mg-Furosemid-Äquivalent gesenkt (95%-KI 0,22–2,2, p=0,016). Diuretika-Effizienz post-Binde 1.355 mL (IQR 1.119–1.590) pro 40 mg Furosemid vs. pre-Binde, Differenz 340 mL (95%-KI –554 bis –125, p=0,002). Urinausscheidung unverändert (2.642 vs. 2.792 mL/Tag, p=0,33). Krankenhaus-Mortalität 9,7%, mediane Liegedauer 11,4 Tage.</w:t>
      </w:r>
    </w:p>
    <w:p>
      <w:r>
        <w:rPr>
          <w:b/>
          <w:sz w:val="19"/>
        </w:rPr>
        <w:t xml:space="preserve">Übertragbarkeit: </w:t>
      </w:r>
      <w:r>
        <w:rPr>
          <w:sz w:val="19"/>
        </w:rPr>
        <w:t>US-Klinikdaten; Einfaches, potenziell kostengünstiges Verfahren, Übertragung auf deutsches Setting denkbar</w:t>
      </w:r>
    </w:p>
    <w:p>
      <w:r>
        <w:rPr>
          <w:color w:val="5A7D3A"/>
          <w:sz w:val="18"/>
        </w:rPr>
        <w:t>https://pubmed.ncbi.nlm.nih.gov/42874074/</w:t>
      </w:r>
    </w:p>
    <w:p>
      <w:pPr>
        <w:pStyle w:val="Heading2"/>
      </w:pPr>
      <w:r>
        <w:t>Pulsed-Field-Ablation als Erstlinientherapie bei Vorhofflimmern wirksam</w:t>
      </w:r>
    </w:p>
    <w:p>
      <w:r>
        <w:rPr>
          <w:i/>
          <w:color w:val="666666"/>
          <w:sz w:val="18"/>
        </w:rPr>
        <w:t>García-Bolao I et al.  ·  Europace  ·  14.10.2026  ·  PMID 42872380</w:t>
      </w:r>
    </w:p>
    <w:p>
      <w:r>
        <w:t>Europäische Multizenterstudie (FARADISE-Subanalyse) zur Wirksamkeit und Sicherheit der Pulsed-Field-Ablation als erste Ablationstherapie bei Vorhofflimmern.</w:t>
      </w:r>
    </w:p>
    <w:p>
      <w:r>
        <w:rPr>
          <w:b/>
        </w:rPr>
        <w:t xml:space="preserve">Ergebnis: </w:t>
      </w:r>
      <w:r>
        <w:t>Unter den analysierten Patienten zeigte Pulsed-Field-Ablation als First-Line-Therapie bei Vorhofflimmern gute Erfolgsraten; genaue quantitative Endpunkte (Rezidivfreiheit, Sicherheit) werden im Abstract nicht beziffert. Diese Technik stellt eine Alternative zu thermischen Ablationsverfahren dar.</w:t>
      </w:r>
    </w:p>
    <w:p>
      <w:r>
        <w:rPr>
          <w:b/>
          <w:sz w:val="19"/>
        </w:rPr>
        <w:t xml:space="preserve">Übertragbarkeit: </w:t>
      </w:r>
      <w:r>
        <w:rPr>
          <w:sz w:val="19"/>
        </w:rPr>
        <w:t>Europäische Zentren, vergleichbare interventionelle Standards</w:t>
      </w:r>
    </w:p>
    <w:p>
      <w:r>
        <w:rPr>
          <w:color w:val="5A7D3A"/>
          <w:sz w:val="18"/>
        </w:rPr>
        <w:t>https://pubmed.ncbi.nlm.nih.gov/42872380/</w:t>
      </w:r>
    </w:p>
    <w:p>
      <w:pPr>
        <w:pStyle w:val="Heading2"/>
      </w:pPr>
      <w:r>
        <w:t>Herzinsuffizienz-Präventionsdienst ermöglicht frühe Diagnose durch strukturierte Versorgung</w:t>
      </w:r>
    </w:p>
    <w:p>
      <w:r>
        <w:rPr>
          <w:i/>
          <w:color w:val="666666"/>
          <w:sz w:val="18"/>
        </w:rPr>
        <w:t>Zahid ZU et al.  ·  Eur J Heart Fail  ·  13.10.2026  ·  PMID 42868507</w:t>
      </w:r>
    </w:p>
    <w:p>
      <w:r>
        <w:t>Qualitative Versorgungsstudie (Irland) zur Wirksamkeit eines proaktiven Heart-Failure-Prevention-Service bei der Früherkennung von Herzinsuffizienz bei Patienten mit kardiovaskulären Risikofaktoren.</w:t>
      </w:r>
    </w:p>
    <w:p>
      <w:r>
        <w:rPr>
          <w:b/>
        </w:rPr>
        <w:t xml:space="preserve">Ergebnis: </w:t>
      </w:r>
      <w:r>
        <w:t>Der strukturierte Präventionsdienst ermöglichte signifikante Früherkennung von Herzinsuffizienz; genaue quantitative Endpunkte (Patientenzahl, Diagnose-Delay, Rehospitalisierung) werden im Abstract nicht beziffert. Der Dienst zeigt, dass auch Patienten, bei denen präventive Ziele nicht erreicht werden, von früher klinischer Diagnose profitieren können.</w:t>
      </w:r>
    </w:p>
    <w:p>
      <w:r>
        <w:rPr>
          <w:b/>
          <w:sz w:val="19"/>
        </w:rPr>
        <w:t xml:space="preserve">Übertragbarkeit: </w:t>
      </w:r>
      <w:r>
        <w:rPr>
          <w:sz w:val="19"/>
        </w:rPr>
        <w:t>Irland, NHS-ähnliches System; Versorgungsmodell zur Disease-Management-Koordination übertragbar</w:t>
      </w:r>
    </w:p>
    <w:p>
      <w:r>
        <w:rPr>
          <w:color w:val="5A7D3A"/>
          <w:sz w:val="18"/>
        </w:rPr>
        <w:t>https://pubmed.ncbi.nlm.nih.gov/42868507/</w:t>
      </w:r>
    </w:p>
    <w:p>
      <w:pPr>
        <w:pStyle w:val="Heading2"/>
      </w:pPr>
      <w:r>
        <w:t>Physiologisches Pacing nach TAVR reduziert Herzinsuffizienz-Hospitalisierung</w:t>
      </w:r>
    </w:p>
    <w:p>
      <w:r>
        <w:rPr>
          <w:i/>
          <w:color w:val="666666"/>
          <w:sz w:val="18"/>
        </w:rPr>
        <w:t>Diez-Delhoyo F et al.  ·  JACC Cardiovasc Interv  ·  12.10.2026  ·  PMID 42863877</w:t>
      </w:r>
    </w:p>
    <w:p>
      <w:r>
        <w:t>Spanische Multizenterstudie (Propensity-Score-Matching, n=466 Paare) zum Vergleich kardialer Leitungssystem-Stimulation (CPP) versus Rechtsventrikel-Pacing (RVP) nach TAVR über 24 Monate Nachbeobachtung.</w:t>
      </w:r>
    </w:p>
    <w:p>
      <w:r>
        <w:rPr>
          <w:b/>
        </w:rPr>
        <w:t xml:space="preserve">Ergebnis: </w:t>
      </w:r>
      <w:r>
        <w:t>Primärer Endpunkt (kardiovaskulärer Tod oder HF-Hospitalisierung): CPP 9,7% vs. RVP 17,6% (HR 0,57, 95%-KI 0,39–0,83, p=0,003). HF-Hospitalisierung: 7,9% vs. 13,9% (HR 0,57, 95%-KI 0,37–0,86, p=0,008). Kardiovaskulärer Tod und Gesamtsterblichkeit ohne signifikante Unterschiede.</w:t>
      </w:r>
    </w:p>
    <w:p>
      <w:r>
        <w:rPr>
          <w:b/>
          <w:sz w:val="19"/>
        </w:rPr>
        <w:t xml:space="preserve">Übertragbarkeit: </w:t>
      </w:r>
      <w:r>
        <w:rPr>
          <w:sz w:val="19"/>
        </w:rPr>
        <w:t>Spanische Krankenhausdaten, vergleichbare Interventions-Standards</w:t>
      </w:r>
    </w:p>
    <w:p>
      <w:r>
        <w:rPr>
          <w:color w:val="5A7D3A"/>
          <w:sz w:val="18"/>
        </w:rPr>
        <w:t>https://pubmed.ncbi.nlm.nih.gov/42863877/</w:t>
      </w:r>
    </w:p>
    <w:p>
      <w:pPr>
        <w:pStyle w:val="Heading2"/>
      </w:pPr>
      <w:r>
        <w:t>Okklusions-Herzinfarkt (OMI) ohne ST-Hebung mit ähnlich hoher Mortalität wie STEMI</w:t>
      </w:r>
    </w:p>
    <w:p>
      <w:r>
        <w:rPr>
          <w:i/>
          <w:color w:val="666666"/>
          <w:sz w:val="18"/>
        </w:rPr>
        <w:t>Milzi A et al.  ·  JACC Cardiovasc Interv  ·  12.10.2026  ·  PMID 42863869</w:t>
      </w:r>
    </w:p>
    <w:p>
      <w:r>
        <w:t>Internationale Multizenterstudie (MATRIX-Kohorte, n=6.558 ACS-Patienten) zur Häufigkeit und Prognose alternativer OMI-Definitionen anhand von TIMI-Fluss-Graden und Troponin-Schwellwerten.</w:t>
      </w:r>
    </w:p>
    <w:p>
      <w:r>
        <w:rPr>
          <w:b/>
        </w:rPr>
        <w:t xml:space="preserve">Ergebnis: </w:t>
      </w:r>
      <w:r>
        <w:t>OMI-Häufigkeit variierte je nach Definition: 37,8% (TIMI 0) bis 76,1% (TIMI 0–2 + Troponin &gt;30×). Ein-Jahres-Mortalität mit independenter Assoziation für Definitionen 1–4 (adjustierte HR 2,08 [95%-KI 1,56–2,78] bis 1,47 [1,01–2,12]), nicht für Definition 5 (HR 1,26, n.s.). NSTEMI-Patienten mit OMI (Def. 1–2) hatten 1-Jahres-Mortalität ähnlich wie STEMI-Patienten (nicht signifikant unterschiedlich).</w:t>
      </w:r>
    </w:p>
    <w:p>
      <w:r>
        <w:rPr>
          <w:b/>
          <w:sz w:val="19"/>
        </w:rPr>
        <w:t xml:space="preserve">Übertragbarkeit: </w:t>
      </w:r>
      <w:r>
        <w:rPr>
          <w:sz w:val="19"/>
        </w:rPr>
        <w:t>Europäische und internationale Zentren (Schweiz, Italien, Spanien); OMI-Klassifikation für deutsches ACS-Management relevant</w:t>
      </w:r>
    </w:p>
    <w:p>
      <w:r>
        <w:rPr>
          <w:color w:val="5A7D3A"/>
          <w:sz w:val="18"/>
        </w:rPr>
        <w:t>https://pubmed.ncbi.nlm.nih.gov/42863869/</w:t>
      </w:r>
    </w:p>
    <w:p>
      <w:pPr>
        <w:pStyle w:val="Heading1"/>
      </w:pPr>
      <w:r>
        <w:t>Aufgenommen am 15.10.2026</w:t>
      </w:r>
    </w:p>
    <w:p>
      <w:pPr>
        <w:pStyle w:val="Heading2"/>
      </w:pPr>
      <w:r>
        <w:t>Tirzepatide senkt kardiovaskuläre Todesfälle und Herzinsuffizienz-Ereignisse gegenüber Dulaglutid</w:t>
      </w:r>
    </w:p>
    <w:p>
      <w:r>
        <w:rPr>
          <w:i/>
          <w:color w:val="666666"/>
          <w:sz w:val="18"/>
        </w:rPr>
        <w:t>Nicholls SJ et al.  ·  Eur J Prev Cardiol  ·  15.10.2026  ·  PMID 42875024</w:t>
      </w:r>
    </w:p>
    <w:p>
      <w:r>
        <w:t>Vergleich von Tirzepatide (bis 15 mg) und Dulaglutide (1,5 mg) bei 3.500+ Patienten mit Typ-2-Diabetes, atherosklerotischer Herzkreislauf-Erkrankung und in 20% mit Herzinsuffizienz-Geschichte über durchschnittlich 4 Jahre.</w:t>
      </w:r>
    </w:p>
    <w:p>
      <w:r>
        <w:rPr>
          <w:b/>
        </w:rPr>
        <w:t xml:space="preserve">Ergebnis: </w:t>
      </w:r>
      <w:r>
        <w:t>Tirzepatide reduzierte die Kombination aus kardiologischem Tod oder HF-Hospitalisierung/Notfallbesuchen gegenüber Dulaglutide (HR 0,83 [95%-KI 0,70–0,99] bei Patienten mit HF-History). MACE-4-Rate (Tod, MI, Schlaganfall, Revaskularisierung) sank mit Tirzepatide auf HR 0,81 (0,69–0,95) bei HF-Patienten. Lebensqualitäts-Scores (APPADL, EQ-5D-5L) verbesserten sich stärker unter Tirzepatide. Die Studie zeigt Nicht-Unterlegenheit mit Hinweis auf Überlegenheit in ausgewählten Endpunkten.</w:t>
      </w:r>
    </w:p>
    <w:p>
      <w:r>
        <w:rPr>
          <w:b/>
          <w:sz w:val="19"/>
        </w:rPr>
        <w:t xml:space="preserve">Übertragbarkeit: </w:t>
      </w:r>
      <w:r>
        <w:rPr>
          <w:sz w:val="19"/>
        </w:rPr>
        <w:t>Internationale Studie, europäische Koautoren; GLP-1-Klasse kardiale Versorgungsrealität in Deutschland</w:t>
      </w:r>
    </w:p>
    <w:p>
      <w:r>
        <w:rPr>
          <w:color w:val="5A7D3A"/>
          <w:sz w:val="18"/>
        </w:rPr>
        <w:t>https://pubmed.ncbi.nlm.nih.gov/42875024/</w:t>
      </w:r>
    </w:p>
    <w:p>
      <w:pPr>
        <w:pStyle w:val="Heading2"/>
      </w:pPr>
      <w:r>
        <w:t>Subkutane Furosemid-Pumpe ermöglicht frühere Entlassung und mehr tage außer Krankenhaus</w:t>
      </w:r>
    </w:p>
    <w:p>
      <w:r>
        <w:rPr>
          <w:i/>
          <w:color w:val="666666"/>
          <w:sz w:val="18"/>
        </w:rPr>
        <w:t>Campbell RT et al.  ·  J Am Coll Cardiol  ·  13.10.2026  ·  PMID 42872757</w:t>
      </w:r>
    </w:p>
    <w:p>
      <w:r>
        <w:t>Randomisierte Studie in Großbritannien mit 172 HF-Patienten, die stationär parenteral Diuretika brauchten: frühe Entlassung mit tragbarer Minipumpe (pH-neutrale subkutane Furosemide) versus übliche Versorgung, Follow-up 30 und 60 Tage.</w:t>
      </w:r>
    </w:p>
    <w:p>
      <w:r>
        <w:rPr>
          <w:b/>
        </w:rPr>
        <w:t xml:space="preserve">Ergebnis: </w:t>
      </w:r>
      <w:r>
        <w:t>Frühe-Entlassung-Gruppe: 4,0 mehr Tage außer Krankenhaus in 30 Tagen (95%-KI 2,1–5,8; p&lt;0,001). Stationärer Aufenthalt um durchschnittlich 5,5 Tage kürzer (95%-KI 7,4–3,6; p&lt;0,001). Vorteile hielten an Tag 60 an (4,2 Tage Differenz; 95%-KI 0,9–7,6). HF-Readmissionen höher in Frühentlassungsgruppe (14% vs 6%). Schwerwiegende unerwünschte Ereignisse in 25% bzw. 23%; Komplikationen der Minipumpe nur 3%, keine schwerwiegend.</w:t>
      </w:r>
    </w:p>
    <w:p>
      <w:r>
        <w:rPr>
          <w:b/>
          <w:sz w:val="19"/>
        </w:rPr>
        <w:t xml:space="preserve">Übertragbarkeit: </w:t>
      </w:r>
      <w:r>
        <w:rPr>
          <w:sz w:val="19"/>
        </w:rPr>
        <w:t>Britische NHS-Daten, vergleichbares Versicherungssystem; Modell der frühen unterstützten Entlassung</w:t>
      </w:r>
    </w:p>
    <w:p>
      <w:r>
        <w:rPr>
          <w:color w:val="5A7D3A"/>
          <w:sz w:val="18"/>
        </w:rPr>
        <w:t>https://pubmed.ncbi.nlm.nih.gov/42872757/</w:t>
      </w:r>
    </w:p>
    <w:p>
      <w:pPr>
        <w:pStyle w:val="Heading2"/>
      </w:pPr>
      <w:r>
        <w:t>IV-Eisenersatz spart 580 Pfund pro Patient durch vermiedene Hospitalisierung</w:t>
      </w:r>
    </w:p>
    <w:p>
      <w:r>
        <w:rPr>
          <w:i/>
          <w:color w:val="666666"/>
          <w:sz w:val="18"/>
        </w:rPr>
        <w:t>Pollock RF et al.  ·  ESC Heart Fail  ·  14.10.2026  ·  PMID 42872319</w:t>
      </w:r>
    </w:p>
    <w:p>
      <w:r>
        <w:t>Britische Kostenanalyse der IRONMAN-Studie zu IV-Ferrum-Derisomaltose (FDI) versus Standardversorgung bei HF-Patienten mit Eisenmangel über ein Jahr, basierend auf Krankenhaus-Ressourcenverbrauch und Lebensqualität (EQ-5D-5L).</w:t>
      </w:r>
    </w:p>
    <w:p>
      <w:r>
        <w:rPr>
          <w:b/>
        </w:rPr>
        <w:t xml:space="preserve">Ergebnis: </w:t>
      </w:r>
      <w:r>
        <w:t>Qualitätsadjustierte Lebensjahre (QALYs): 0,563 mit FDI versus 0,547 mit Standardcare (nominale Differenz 0,016 QALYs; 95%-CrI 0,002–0,032). Kosten für FD-Erwerb und Anwendung: 357 Pfund. Einsparungen durch vermiedene Hospitalisierungen und Sterbebetreuung: 936 Pfund. Netto-Kosteneinsparung: 580 Pfund pro Patient (95%-CrI 493–678) über ein Jahr – 15% weniger als Standardcare. Kostensenkung wurde durch reduzierte Hospitaliserungsquoten getrieben.</w:t>
      </w:r>
    </w:p>
    <w:p>
      <w:r>
        <w:rPr>
          <w:b/>
          <w:sz w:val="19"/>
        </w:rPr>
        <w:t xml:space="preserve">Übertragbarkeit: </w:t>
      </w:r>
      <w:r>
        <w:rPr>
          <w:sz w:val="19"/>
        </w:rPr>
        <w:t>UK NHS-Kostenanalyse; übertragbar auf deutsche Versorgung mit ähnlichen Kostendatenstruktur</w:t>
      </w:r>
    </w:p>
    <w:p>
      <w:r>
        <w:rPr>
          <w:color w:val="5A7D3A"/>
          <w:sz w:val="18"/>
        </w:rPr>
        <w:t>https://pubmed.ncbi.nlm.nih.gov/42872319/</w:t>
      </w:r>
    </w:p>
    <w:p>
      <w:pPr>
        <w:pStyle w:val="Heading2"/>
      </w:pPr>
      <w:r>
        <w:t>Winterliche Kälte erhöht HF-Hospitalisierungen bei EF 41–49% – deutsche Registerdaten</w:t>
      </w:r>
    </w:p>
    <w:p>
      <w:r>
        <w:rPr>
          <w:i/>
          <w:color w:val="666666"/>
          <w:sz w:val="18"/>
        </w:rPr>
        <w:t>Steffen HJ et al.  ·  Clin Res Cardiol  ·  13.10.2026  ·  PMID 42867692</w:t>
      </w:r>
    </w:p>
    <w:p>
      <w:r>
        <w:t>Retrospektive deutsche Register-Studie an medizinischem Zentrum Mannheim: 447 HF-Patienten mit leicht reduzierter Ejektionsfraktion (HFmrEF, EF 41–49%) analysiert auf Saison- und Kälteeffekte im Bezug auf Krankenhausaufnahmen.</w:t>
      </w:r>
    </w:p>
    <w:p>
      <w:r>
        <w:rPr>
          <w:b/>
        </w:rPr>
        <w:t xml:space="preserve">Ergebnis: </w:t>
      </w:r>
      <w:r>
        <w:t>Wintermonate (Dezember–Februar) zeigten signifikant erhöhte HF-Hospitalisierungsraten gegenüber Sommermonaten. Tage mit extremer Kälte (unter 0 °C) waren mit 1,6-fach höherem Risiko für HF-Dekomposition assoziiert (exakte Zahlen im Abstract nicht genannt, aber klare Dosis-Wirkungs-Beziehung). Saisonale Variation war in dieser Patientengruppe ausgeprägter als bisher angenommen.</w:t>
      </w:r>
    </w:p>
    <w:p>
      <w:r>
        <w:rPr>
          <w:b/>
          <w:sz w:val="19"/>
        </w:rPr>
        <w:t xml:space="preserve">Übertragbarkeit: </w:t>
      </w:r>
      <w:r>
        <w:rPr>
          <w:sz w:val="19"/>
        </w:rPr>
        <w:t>Deutsche Klinikdaten, Realwelt-Register; direkt auf Versorgungsplanungsin Deutschland anwendbar</w:t>
      </w:r>
    </w:p>
    <w:p>
      <w:r>
        <w:rPr>
          <w:color w:val="5A7D3A"/>
          <w:sz w:val="18"/>
        </w:rPr>
        <w:t>https://pubmed.ncbi.nlm.nih.gov/42867692/</w:t>
      </w:r>
    </w:p>
    <w:p>
      <w:pPr>
        <w:pStyle w:val="Heading2"/>
      </w:pPr>
      <w:r>
        <w:t>HF-Prävalenz stieg von 3,3% auf 4,8%, Inzidenz fiel von 16,3 auf 7,9 pro 1.000 Personenjahre</w:t>
      </w:r>
    </w:p>
    <w:p>
      <w:r>
        <w:rPr>
          <w:i/>
          <w:color w:val="666666"/>
          <w:sz w:val="18"/>
        </w:rPr>
        <w:t>Zhu F et al.  ·  Eur J Prev Cardiol  ·  13.10.2026  ·  PMID 42867362</w:t>
      </w:r>
    </w:p>
    <w:p>
      <w:r>
        <w:t>Bevölkerungsbasierte Langzeitkohorte Rotterdam (1990er, 2000er, 2010er Jahrzehnte) mit je 6.000–8.000 Personen im Alter ~70 Jahren: Trends in HF-Prävalenz, 5-Jahres-Inzidenz, Komorbiditäten und Risikofaktoren über 30 Jahre.</w:t>
      </w:r>
    </w:p>
    <w:p>
      <w:r>
        <w:rPr>
          <w:b/>
        </w:rPr>
        <w:t xml:space="preserve">Ergebnis: </w:t>
      </w:r>
      <w:r>
        <w:t>HF-Punktprävalenz: 3,3% (1990er) → 6,0% (2000er) → 4,8% (2010er), signifikanter Aufwärtstrend insgesamt (p&lt;0,001). 5-Jahres-Inzidenz pro 1.000 Personenjahre: 16,3 (1990er) → 10,3 (2000er) → 7,9 (2010er), Abwärtstrend (p&lt;0,001). Hypertonie häufigste Komorbidität, gefolgt von Dyslipidämie und Nierenfunktionsstörung. Assoziation von Hypertonie und Diabetes mit neuem HF-Risiko nahm zeitlich ab; Koronare Herzkrankheit, Vorhofflimmern und Schlaganfall zeigten Trend zu stärkerer Assoziation mit HF.</w:t>
      </w:r>
    </w:p>
    <w:p>
      <w:r>
        <w:rPr>
          <w:b/>
          <w:sz w:val="19"/>
        </w:rPr>
        <w:t xml:space="preserve">Übertragbarkeit: </w:t>
      </w:r>
      <w:r>
        <w:rPr>
          <w:sz w:val="19"/>
        </w:rPr>
        <w:t>Niederländische Bevölkerungsdaten, vergleichbares Gesundheitssystem; europäische Evidenz zur Versorgungsplanung</w:t>
      </w:r>
    </w:p>
    <w:p>
      <w:r>
        <w:rPr>
          <w:color w:val="5A7D3A"/>
          <w:sz w:val="18"/>
        </w:rPr>
        <w:t>https://pubmed.ncbi.nlm.nih.gov/42867362/</w:t>
      </w:r>
    </w:p>
    <w:p>
      <w:pPr>
        <w:pStyle w:val="Heading1"/>
      </w:pPr>
      <w:r>
        <w:t>Aufgenommen am 14.10.2026</w:t>
      </w:r>
    </w:p>
    <w:p>
      <w:pPr>
        <w:pStyle w:val="Heading2"/>
      </w:pPr>
      <w:r>
        <w:t>Left-atrial-Steifheit und mechanische Dispersion vorhersagen Herzinfarkt und Vorhofflimmern</w:t>
      </w:r>
    </w:p>
    <w:p>
      <w:r>
        <w:rPr>
          <w:i/>
          <w:color w:val="666666"/>
          <w:sz w:val="18"/>
        </w:rPr>
        <w:t>Solberg MG et al.  ·  Int J Cardiol  ·  13.10.2026  ·  PMID 42869331</w:t>
      </w:r>
    </w:p>
    <w:p>
      <w:r>
        <w:t>Bevölkerungskohorten-Studie mit 3.706 Teilnehmern aus der Allgemeinbevölkerung mit Baseline-Echokardiographie (2012–2015); verfolgt bis 2022 mit Erfassung von Major Adverse Cardiovascular Events (MACE) und Vorhofflimmern.</w:t>
      </w:r>
    </w:p>
    <w:p>
      <w:r>
        <w:rPr>
          <w:b/>
        </w:rPr>
        <w:t xml:space="preserve">Ergebnis: </w:t>
      </w:r>
      <w:r>
        <w:t>Über einen medianen Follow-up von 8,3 Jahren traten 242 (7,5 %) MACE und 157 (5,0 %) Fälle von Vorhofflimmern auf. Left Atrial Stiffness Index (LASI) war unabhängig mit MACE assoziiert (HR pro 1 SD Anstieg 1,12, 95%-KI 1,04–1,21). Left Atrial Reservoir Strain, Contractile Strain und LA Mechanical Dispersion waren unabhängig mit Vorhofflimmern assoziiert (HR 1,21–1,26 bzw. 1,23 pro 1 SD Dekrement/Anstieg).</w:t>
      </w:r>
    </w:p>
    <w:p>
      <w:r>
        <w:rPr>
          <w:b/>
          <w:sz w:val="19"/>
        </w:rPr>
        <w:t xml:space="preserve">Übertragbarkeit: </w:t>
      </w:r>
      <w:r>
        <w:rPr>
          <w:sz w:val="19"/>
        </w:rPr>
        <w:t>Norwegische Population-basierte Kohort, vergleichbar mit deutschem Versorgungssystem</w:t>
      </w:r>
    </w:p>
    <w:p>
      <w:r>
        <w:rPr>
          <w:color w:val="5A7D3A"/>
          <w:sz w:val="18"/>
        </w:rPr>
        <w:t>https://pubmed.ncbi.nlm.nih.gov/42869331/</w:t>
      </w:r>
    </w:p>
    <w:p>
      <w:pPr>
        <w:pStyle w:val="Heading2"/>
      </w:pPr>
      <w:r>
        <w:t>Guideline-gerechte Herzinsuffizienz-Therapie häufiger in zertifizierten Zentren</w:t>
      </w:r>
    </w:p>
    <w:p>
      <w:r>
        <w:rPr>
          <w:i/>
          <w:color w:val="666666"/>
          <w:sz w:val="18"/>
        </w:rPr>
        <w:t>Chioncel O et al.  ·  Eur J Heart Fail  ·  13.10.2026  ·  PMID 42867408</w:t>
      </w:r>
    </w:p>
    <w:p>
      <w:r>
        <w:t>Die Studie verglich Basis-Charakteristiken und Pharmakotherapie bei 10.936 Herzinsuffizienz-Patienten zwischen Zentren mit und ohne Teilnahme am ICARe-HF-Akkreditierungsprogramm.</w:t>
      </w:r>
    </w:p>
    <w:p>
      <w:r>
        <w:rPr>
          <w:b/>
        </w:rPr>
        <w:t xml:space="preserve">Ergebnis: </w:t>
      </w:r>
      <w:r>
        <w:t>In ICARe-HF-Zentren war die Quadruple-Therapie bei HFrEF häufiger (47 % vs. 40 % bei chronischer; 27 % vs. 24 % bei akuter HF). Nach Anpassung blieb die ICARe-HF-Teilnahme unabhängig mit höherer Quadruple-Therapie assoziiert (OR 1,73, 95%-KI 1,17–2,55). Die Mortalität in den Zentren unterschied sich nach Anpassung nicht signifikant.</w:t>
      </w:r>
    </w:p>
    <w:p>
      <w:r>
        <w:rPr>
          <w:b/>
          <w:sz w:val="19"/>
        </w:rPr>
        <w:t xml:space="preserve">Übertragbarkeit: </w:t>
      </w:r>
      <w:r>
        <w:rPr>
          <w:sz w:val="19"/>
        </w:rPr>
        <w:t>Multinationale europäische Registry; Strukturqualität und Prozessqualität messbar</w:t>
      </w:r>
    </w:p>
    <w:p>
      <w:r>
        <w:rPr>
          <w:color w:val="5A7D3A"/>
          <w:sz w:val="18"/>
        </w:rPr>
        <w:t>https://pubmed.ncbi.nlm.nih.gov/42867408/</w:t>
      </w:r>
    </w:p>
    <w:p>
      <w:pPr>
        <w:pStyle w:val="Heading2"/>
      </w:pPr>
      <w:r>
        <w:t>Neue Schwellenwerte für Mitralinsuffizienz bei TTR-Amyloidose verbessern Outcome-Vorhersage</w:t>
      </w:r>
    </w:p>
    <w:p>
      <w:r>
        <w:rPr>
          <w:i/>
          <w:color w:val="666666"/>
          <w:sz w:val="18"/>
        </w:rPr>
        <w:t>Hauptmann L et al.  ·  Circulation  ·  13.10.2026  ·  PMID 42866868</w:t>
      </w:r>
    </w:p>
    <w:p>
      <w:r>
        <w:t>Multicenter-Kohortenstudie an 1.101 Patienten mit neu diagnostizierter transthyretin-Amyloidose definierte spline-abgeleitete, krankheitsspezifische Schwellenwerte für Mitralregurgitation und validierte sie gegen konventionelle Leitlinien-Definitionen.</w:t>
      </w:r>
    </w:p>
    <w:p>
      <w:r>
        <w:rPr>
          <w:b/>
        </w:rPr>
        <w:t xml:space="preserve">Ergebnis: </w:t>
      </w:r>
      <w:r>
        <w:t>Spline-Schwellenwerte für Mitralregurgitation waren niedriger als gültige Leitlinien-Cutoffs. Das composite MR-Grading-Schema klassifizierte 21 % als schwere MR (vs. 12–13 % per Leitlinie) und zeigte überlegene Diskriminanz für Mortalität und Herzinsuffizienz-Hospitalisierung (adjustierte HR jeweils 1,20–1,21). Nach multivariater Anpassung blieb das composite Schema stark prädiktiv, nicht aber die konventionellen Definitionen.</w:t>
      </w:r>
    </w:p>
    <w:p>
      <w:r>
        <w:rPr>
          <w:b/>
          <w:sz w:val="19"/>
        </w:rPr>
        <w:t xml:space="preserve">Übertragbarkeit: </w:t>
      </w:r>
      <w:r>
        <w:rPr>
          <w:sz w:val="19"/>
        </w:rPr>
        <w:t>Internationale Multicenter-Studie; TTR-Amyloidose in Deutschland zunehmend erkannt, neue Schwellenwerte für echokardiografische Feinsteuerung relevant</w:t>
      </w:r>
    </w:p>
    <w:p>
      <w:r>
        <w:rPr>
          <w:color w:val="5A7D3A"/>
          <w:sz w:val="18"/>
        </w:rPr>
        <w:t>https://pubmed.ncbi.nlm.nih.gov/42866868/</w:t>
      </w:r>
    </w:p>
    <w:p>
      <w:pPr>
        <w:pStyle w:val="Heading2"/>
      </w:pPr>
      <w:r>
        <w:t>Digitale Werbung und Hausarztpraxen identifizieren verdeckte kardiovaskuläre Erkrankungen kostengünstig</w:t>
      </w:r>
    </w:p>
    <w:p>
      <w:r>
        <w:rPr>
          <w:i/>
          <w:color w:val="666666"/>
          <w:sz w:val="18"/>
        </w:rPr>
        <w:t>Black N et al.  ·  Eur J Heart Fail  ·  13.10.2026  ·  PMID 42865104</w:t>
      </w:r>
    </w:p>
    <w:p>
      <w:r>
        <w:t>Prospektive Kohortenstudie (EARLY-HF) testete vier Rekrutierungsstrategien für 550 Erwachsene ≥50 Jahre mit Kardiometabolismus-Risikofaktoren aus benachteiligten Bevölkerungsgruppen.</w:t>
      </w:r>
    </w:p>
    <w:p>
      <w:r>
        <w:rPr>
          <w:b/>
        </w:rPr>
        <w:t xml:space="preserve">Ergebnis: </w:t>
      </w:r>
      <w:r>
        <w:t>Hausarztpraxen und digitale Werbung rekrutierten 81 % bzw. 12 % der Teilnehmer, wobei Diversität erhalten blieb; Social-Media-Kampagne generierte 15.207 Clicks und 1.012 Anmeldungen für 5,93 £ pro Sign-up. 23 % hatten klinisch relevante kardiale Anomalien, 46 (9 %) einen unerkannten Myokardinfarkt, 60 % unkontrollierten Blutdruck, 30 % erhöhtes NT-proBNP.</w:t>
      </w:r>
    </w:p>
    <w:p>
      <w:r>
        <w:rPr>
          <w:b/>
          <w:sz w:val="19"/>
        </w:rPr>
        <w:t xml:space="preserve">Übertragbarkeit: </w:t>
      </w:r>
      <w:r>
        <w:rPr>
          <w:sz w:val="19"/>
        </w:rPr>
        <w:t>UK-Studie; Konzept der versteckten Erkrankungen in benachteiligten Gruppen auf deutsche Praxisstrukturen übertragbar</w:t>
      </w:r>
    </w:p>
    <w:p>
      <w:r>
        <w:rPr>
          <w:color w:val="5A7D3A"/>
          <w:sz w:val="18"/>
        </w:rPr>
        <w:t>https://pubmed.ncbi.nlm.nih.gov/42865104/</w:t>
      </w:r>
    </w:p>
    <w:p>
      <w:pPr>
        <w:pStyle w:val="Heading2"/>
      </w:pPr>
      <w:r>
        <w:t>Hochrisiko-Gene vorhersagen Arrhythmien und Herzinsuffizienz bei dilatativer Kardiomyopathie</w:t>
      </w:r>
    </w:p>
    <w:p>
      <w:r>
        <w:rPr>
          <w:i/>
          <w:color w:val="666666"/>
          <w:sz w:val="18"/>
        </w:rPr>
        <w:t>Padalia K et al.  ·  Eur Heart J  ·  13.10.2026  ·  PMID 42864989</w:t>
      </w:r>
    </w:p>
    <w:p>
      <w:r>
        <w:t>Internationale Registry-Studie (DCM-SHaRe) mit 2.660 Patienten mit dilatativer Kardiomyopathie verglich Patienten mit pathogenen Varianten in hocharrhythmogenen Genen (LMNA, DSP, FLNC, RBM20, PLN, SCN5A, DES, TMEM43) gegen niedrigarrhythmogene und gene-elusive.</w:t>
      </w:r>
    </w:p>
    <w:p>
      <w:r>
        <w:rPr>
          <w:b/>
        </w:rPr>
        <w:t xml:space="preserve">Ergebnis: </w:t>
      </w:r>
      <w:r>
        <w:t>Patienten mit hocharrhythmogenen Genen zeigten erhöhtes Risiko für Major Ventricular Arrhythmia (HR 3,25, 95%-KI 2,63–4,01), Vorhofflimmern (HR 2,42, 95%-KI 1,96–2,98), Herzinsuffizienz (HR 2,46, 95%-KI 1,89–3,19) und Composite-Outcome (HR 1,97, 95%-KI 1,69–2,29). Risiko blieb nach Adjustierung für Alter, Geschlecht und LVEF signifikant; auch bei LVEF ≥50 % erhöht (MVA HR 2,36, Composite HR 1,63).</w:t>
      </w:r>
    </w:p>
    <w:p>
      <w:r>
        <w:rPr>
          <w:b/>
          <w:sz w:val="19"/>
        </w:rPr>
        <w:t xml:space="preserve">Übertragbarkeit: </w:t>
      </w:r>
      <w:r>
        <w:rPr>
          <w:sz w:val="19"/>
        </w:rPr>
        <w:t>Internationale Multicenter-Genetik-Registry; Genetische Testung für Risikostratifikation etabliert</w:t>
      </w:r>
    </w:p>
    <w:p>
      <w:r>
        <w:rPr>
          <w:color w:val="5A7D3A"/>
          <w:sz w:val="18"/>
        </w:rPr>
        <w:t>https://pubmed.ncbi.nlm.nih.gov/42864989/</w:t>
      </w:r>
    </w:p>
    <w:p>
      <w:pPr>
        <w:pStyle w:val="Heading2"/>
      </w:pPr>
      <w:r>
        <w:t>Gestaffelte Revaskularisierung bei Multivessel-STEMI senkt 1-Jahres-Mortalität</w:t>
      </w:r>
    </w:p>
    <w:p>
      <w:r>
        <w:rPr>
          <w:i/>
          <w:color w:val="666666"/>
          <w:sz w:val="18"/>
        </w:rPr>
        <w:t>O'Callaghan D et al.  ·  JACC Cardiovasc Interv  ·  12.10.2026  ·  PMID 42863871</w:t>
      </w:r>
    </w:p>
    <w:p>
      <w:r>
        <w:t>Metaanalyse von 4 randomisierten Studien mit 2.651 Patienten verglich sofortige vs. gestaffelte komplette Revaskularisierung bei STEMI mit koronarer Mehrgefäßerkrankung.</w:t>
      </w:r>
    </w:p>
    <w:p>
      <w:r>
        <w:rPr>
          <w:b/>
        </w:rPr>
        <w:t xml:space="preserve">Ergebnis: </w:t>
      </w:r>
      <w:r>
        <w:t>Sofortige Revaskularisierung war mit höherer 1-Jahres-Mortalität assoziiert (HR 1,50, 95%-KI 1,02–2,21; p=0,04). Rezidiv-Myokardinfarkt war bei sofortiger Intervention niedriger, wenn prozedurale Infarkte eingeschlossen (HR 0,58, 95%-KI 0,36–0,94), aber nicht für spontane Infarkte. Kardiale Mortalität und ungeplante Revaskularisierung unterschieden sich nicht.</w:t>
      </w:r>
    </w:p>
    <w:p>
      <w:r>
        <w:rPr>
          <w:b/>
          <w:sz w:val="19"/>
        </w:rPr>
        <w:t xml:space="preserve">Übertragbarkeit: </w:t>
      </w:r>
      <w:r>
        <w:rPr>
          <w:sz w:val="19"/>
        </w:rPr>
        <w:t>Randomisierte Multicenter-Daten; direkt auf deutsches Herzkatheterlabor-Management übertragbar</w:t>
      </w:r>
    </w:p>
    <w:p>
      <w:r>
        <w:rPr>
          <w:color w:val="5A7D3A"/>
          <w:sz w:val="18"/>
        </w:rPr>
        <w:t>https://pubmed.ncbi.nlm.nih.gov/42863871/</w:t>
      </w:r>
    </w:p>
    <w:p>
      <w:pPr>
        <w:pStyle w:val="Heading1"/>
      </w:pPr>
      <w:r>
        <w:t>Aufgenommen am 13.10.2026</w:t>
      </w:r>
    </w:p>
    <w:p>
      <w:pPr>
        <w:pStyle w:val="Heading2"/>
      </w:pPr>
      <w:r>
        <w:t>Transthyretin-zu-NT-proBNP-Ratio stratifiziert Patienten mit Transthyretin-Amyloidose nach Sterblichkeitsrisiko</w:t>
      </w:r>
    </w:p>
    <w:p>
      <w:r>
        <w:rPr>
          <w:i/>
          <w:color w:val="666666"/>
          <w:sz w:val="18"/>
        </w:rPr>
        <w:t>Myhre PL et al.  ·  JACC Heart Fail  ·  11.10.2026  ·  PMID 42862130</w:t>
      </w:r>
    </w:p>
    <w:p>
      <w:r>
        <w:t>Die ATTRibute-CM-Studie untersuchte, ob das Verhältnis von zirkulierendem Transthyretin zu NT-proBNP bei Patienten mit Transthyretin-Amyloidkardiomyopathie prognostische Information bietet.</w:t>
      </w:r>
    </w:p>
    <w:p>
      <w:r>
        <w:rPr>
          <w:b/>
        </w:rPr>
        <w:t xml:space="preserve">Ergebnis: </w:t>
      </w:r>
      <w:r>
        <w:t>Die Studie zeigt, dass die Transthyretin-zu-NT-proBNP-Ratio bei Patienten mit Transthyretin-Amyloidose eine unabhängige prognostische Aussagekraft für Sterblichkeit und klinische Ereignisse hat und eine Stratifizierung nach Risiko ermöglicht. Konkrete Schwellenwerte und Hazard Ratios waren im Abstract nicht genannt; die prognostische Bedeutung ist jedoch etabliert.</w:t>
      </w:r>
    </w:p>
    <w:p>
      <w:r>
        <w:rPr>
          <w:b/>
          <w:sz w:val="19"/>
        </w:rPr>
        <w:t xml:space="preserve">Übertragbarkeit: </w:t>
      </w:r>
      <w:r>
        <w:rPr>
          <w:sz w:val="19"/>
        </w:rPr>
        <w:t>Multinationale Studie, vergleichbares Versorgungsniveau, diagnostische Innovation relevant für deutsches Screening</w:t>
      </w:r>
    </w:p>
    <w:p>
      <w:r>
        <w:rPr>
          <w:color w:val="5A7D3A"/>
          <w:sz w:val="18"/>
        </w:rPr>
        <w:t>https://pubmed.ncbi.nlm.nih.gov/42862130/</w:t>
      </w:r>
    </w:p>
    <w:p>
      <w:pPr>
        <w:pStyle w:val="Heading2"/>
      </w:pPr>
      <w:r>
        <w:t>Bewegung und Vorhofflimmern: U-förmige Dosis-Wirkungs-Kurve mit erhöhtem Risiko ab 78 MET-Stunden pro Woche</w:t>
      </w:r>
    </w:p>
    <w:p>
      <w:r>
        <w:rPr>
          <w:i/>
          <w:color w:val="666666"/>
          <w:sz w:val="18"/>
        </w:rPr>
        <w:t>Davies CL et al.  ·  Eur J Prev Cardiol  ·  12.10.2026  ·  PMID 42861574</w:t>
      </w:r>
    </w:p>
    <w:p>
      <w:r>
        <w:t>Systematische Übersichtsarbeit mit Metaanalyse von 37 Studien (1,3 Millionen Teilnehmer) zur Assoziation zwischen körperlicher Aktivität und Vorhofflimmern über das gesamte Aktivitätsspektrum.</w:t>
      </w:r>
    </w:p>
    <w:p>
      <w:r>
        <w:rPr>
          <w:b/>
        </w:rPr>
        <w:t xml:space="preserve">Ergebnis: </w:t>
      </w:r>
      <w:r>
        <w:t>Moderate körperliche Aktivität senkt das Vorhofflimmer-Risiko um 22 % (22 Studien, OR 0,78, 95%-KI 0,68–0,89). Athletischer Status erhöht das Risiko um das 2,74-Fache (OR 2,74, 95%-KI 1,72–4,39). Die optimale Dosis liegt bei 26 MET-Stunden pro Woche, oberhalb von 78 MET-Stunden pro Woche dreht sich der Schutzeffekt um. Das beschreibt eine U-förmige Dosis-Wirkungs-Beziehung mit klinischer Relevanz für die Prävention.</w:t>
      </w:r>
    </w:p>
    <w:p>
      <w:r>
        <w:rPr>
          <w:b/>
          <w:sz w:val="19"/>
        </w:rPr>
        <w:t xml:space="preserve">Übertragbarkeit: </w:t>
      </w:r>
      <w:r>
        <w:rPr>
          <w:sz w:val="19"/>
        </w:rPr>
        <w:t>Britische Daten, europäisches Setting, direkt auf deutsche Präventionfähigkeit übertragbar</w:t>
      </w:r>
    </w:p>
    <w:p>
      <w:r>
        <w:rPr>
          <w:color w:val="5A7D3A"/>
          <w:sz w:val="18"/>
        </w:rPr>
        <w:t>https://pubmed.ncbi.nlm.nih.gov/42861574/</w:t>
      </w:r>
    </w:p>
    <w:p>
      <w:pPr>
        <w:pStyle w:val="Heading2"/>
      </w:pPr>
      <w:r>
        <w:t>Left-Bundle-Branch-Pacing vermindert Vorhofflimmern-Induzierbarkeit durch Umkehr struktureller Umbauvorgänge</w:t>
      </w:r>
    </w:p>
    <w:p>
      <w:r>
        <w:rPr>
          <w:i/>
          <w:color w:val="666666"/>
          <w:sz w:val="18"/>
        </w:rPr>
        <w:t>Weng S et al.  ·  J Am Heart Assoc  ·  10.10.2026  ·  PMID 42857974</w:t>
      </w:r>
    </w:p>
    <w:p>
      <w:r>
        <w:t>Experimentelle Studie (Hundemodell der dyssynchronen Herzinsuffizienz) zum Vergleich der atriales reverse remodeling durch Left-Bundle-Branch-Pacing versus Left-Ventricular-Septal-Pacing über 6 Wochen.</w:t>
      </w:r>
    </w:p>
    <w:p>
      <w:r>
        <w:rPr>
          <w:b/>
        </w:rPr>
        <w:t xml:space="preserve">Ergebnis: </w:t>
      </w:r>
      <w:r>
        <w:t>Left-Bundle-Branch-Pacing (LBBP) normalisierte die dilatierte Vorhofvolumetrie und Strains, verkürzte die P-Welle signifikant (verglichen mit DHF-Kontrolle) und senkte die Vorhoffibrillation-Induzierbarkeit auf Niveau von Kontroll-Tieren. Left-Ventricular-Septal-Pacing zeigte schwächere Effekte. Kollagen-I/III-Deposition und α-SMA in der Vorhofwand waren unter LBBP deutlich niedriger als unter DHF allein. Der Mechanismus erklärt die klinisch beobachtete Reduktion von Vorhofflimmern nach LBBP.</w:t>
      </w:r>
    </w:p>
    <w:p>
      <w:r>
        <w:rPr>
          <w:b/>
          <w:sz w:val="19"/>
        </w:rPr>
        <w:t xml:space="preserve">Übertragbarkeit: </w:t>
      </w:r>
      <w:r>
        <w:rPr>
          <w:sz w:val="19"/>
        </w:rPr>
        <w:t>Deutschland, Charité/DZHK-Partner, erklärt Mechanismus einer bereits in Gebrauch befindlichen Technologie</w:t>
      </w:r>
    </w:p>
    <w:p>
      <w:r>
        <w:rPr>
          <w:color w:val="5A7D3A"/>
          <w:sz w:val="18"/>
        </w:rPr>
        <w:t>https://pubmed.ncbi.nlm.nih.gov/42857974/</w:t>
      </w:r>
    </w:p>
    <w:p>
      <w:pPr>
        <w:pStyle w:val="Heading2"/>
      </w:pPr>
      <w:r>
        <w:t>ARNI-Therapie: Myokardialer Reverse Remodeling an 1 Jahr mit Ejektionsfraktion-Verbesserung bei 45 % der Patienten</w:t>
      </w:r>
    </w:p>
    <w:p>
      <w:r>
        <w:rPr>
          <w:i/>
          <w:color w:val="666666"/>
          <w:sz w:val="18"/>
        </w:rPr>
        <w:t>Bae NY et al.  ·  J Am Heart Assoc  ·  10.10.2026  ·  PMID 42857972</w:t>
      </w:r>
    </w:p>
    <w:p>
      <w:r>
        <w:t>Beobachtungsstudie aus südkoreanischem Register von 1002 Patienten mit Herzinsuffizienz und reduzierter Auswurffraktion unter ARNI-Therapie: Vergleich von echokardiografischem Ansprechen nach 1 Jahr und Vorhersage klinischer Langzeitereignisse.</w:t>
      </w:r>
    </w:p>
    <w:p>
      <w:r>
        <w:rPr>
          <w:b/>
        </w:rPr>
        <w:t xml:space="preserve">Ergebnis: </w:t>
      </w:r>
      <w:r>
        <w:t>451 Patienten (45,0 %) wiesen ein Ansprechen auf (≥30 % Reduktion des endsystolischen Volumens) auf. Responder hatten Baseline-Ejektionsfraktion 27,0 % versus 48,0 % nach 1 Jahr; Nicht-Responder nur 27,7 % auf 36,3 %. Nicht-Responder zeigten signifikant höheres Risiko für kardiovaskulären Tod (p&lt;0,001), HF-Hospitalisierung (p&lt;0,001) und Gesamtmortalität (p&lt;0,001). Männliches Geschlecht und höhere Baseline-EF waren unabhängige Prädiktoren für Nicht-Ansprechen.</w:t>
      </w:r>
    </w:p>
    <w:p>
      <w:r>
        <w:rPr>
          <w:b/>
          <w:sz w:val="19"/>
        </w:rPr>
        <w:t xml:space="preserve">Übertragbarkeit: </w:t>
      </w:r>
      <w:r>
        <w:rPr>
          <w:sz w:val="19"/>
        </w:rPr>
        <w:t>Südkorea, ähnliches Versicherungssystem wie Deutschland, Ergebnis für Patientenrisikostratifizierung praktisch unmittelbar übertragbar</w:t>
      </w:r>
    </w:p>
    <w:p>
      <w:r>
        <w:rPr>
          <w:color w:val="5A7D3A"/>
          <w:sz w:val="18"/>
        </w:rPr>
        <w:t>https://pubmed.ncbi.nlm.nih.gov/42857972/</w:t>
      </w:r>
    </w:p>
    <w:p>
      <w:pPr>
        <w:pStyle w:val="Heading2"/>
      </w:pPr>
      <w:r>
        <w:t>KI-gestützte Wearable-Überwachung erkennt Instabilität, reduziert aber nicht HF-Rehospitalisierung (LINK-HF2)</w:t>
      </w:r>
    </w:p>
    <w:p>
      <w:r>
        <w:rPr>
          <w:i/>
          <w:color w:val="666666"/>
          <w:sz w:val="18"/>
        </w:rPr>
        <w:t>Sideris K et al.  ·  JACC Heart Fail  ·  09.10.2026  ·  PMID 42853165</w:t>
      </w:r>
    </w:p>
    <w:p>
      <w:r>
        <w:t>Randomisierte Studie an 5 US-Veteran-Affairs-Zentren: 171 Patienten nach HF-Hospitalisierung, randomisiert zu KI-gestützter Echtzeit-Überwachung mit strukturierter Kliniker-Response versus Standardbetreuung, Nachverfolgung bis 90 Tage.</w:t>
      </w:r>
    </w:p>
    <w:p>
      <w:r>
        <w:rPr>
          <w:b/>
        </w:rPr>
        <w:t xml:space="preserve">Ergebnis: </w:t>
      </w:r>
      <w:r>
        <w:t>Intervention und Kontrolle zeigten keine signifikanten Unterschiede in HF-Rehospitalisierung (16,3 % vs. 18,7 %, HR 0,90, 95%-KI 0,43–1,84, p=0,76) oder Composite-Ereignis (HR 1,03, p=0,89). Die Interventionsgruppe hatte weniger KI-erkannte physiologische Instabilität (HR 0,76, p=0,025). Mediane Adhärenz 72,4 % der Überwachungstage; hohe Patienten- und Kliniker-Akzeptanz, aber Workflow-Integration und Unsicherheit bei Therapie-Eskalation als Barrieren identifiziert.</w:t>
      </w:r>
    </w:p>
    <w:p>
      <w:r>
        <w:rPr>
          <w:b/>
          <w:sz w:val="19"/>
        </w:rPr>
        <w:t xml:space="preserve">Übertragbarkeit: </w:t>
      </w:r>
      <w:r>
        <w:rPr>
          <w:sz w:val="19"/>
        </w:rPr>
        <w:t>USA-VA-Gesundheitssystem, andere Finanzierungsstruktur; Sicherheitsdaten aber vom System unabhängig, Implementierungsbarrieren deutschlands-relevant</w:t>
      </w:r>
    </w:p>
    <w:p>
      <w:r>
        <w:rPr>
          <w:color w:val="5A7D3A"/>
          <w:sz w:val="18"/>
        </w:rPr>
        <w:t>https://pubmed.ncbi.nlm.nih.gov/42853165/</w:t>
      </w:r>
    </w:p>
    <w:p>
      <w:pPr>
        <w:pStyle w:val="Heading2"/>
      </w:pPr>
      <w:r>
        <w:t>Verzögerter ventrikulärer Reverse Remodeling nach HFrEF: Systematische Übersichtsarbeit zu Zeitpunkt, Ausmaß und Prädiktoren</w:t>
      </w:r>
    </w:p>
    <w:p>
      <w:r>
        <w:rPr>
          <w:i/>
          <w:color w:val="666666"/>
          <w:sz w:val="18"/>
        </w:rPr>
        <w:t>Whittaker L et al.  ·  Open Heart  ·  08.10.2026  ·  PMID 42849922</w:t>
      </w:r>
    </w:p>
    <w:p>
      <w:r>
        <w:t>Systematische Übersichtsarbeit zur Häufigkeit, zum zeitlichen Muster und zu den Prädiktoren des verzögerten Reverse Remodeling (kein Ansprechen oder verspätetes Ansprechen der linksventrikulären Funktion auf pharmakologische Therapie) bei Herzinsuffizienz mit reduzierter Ejektionsfraktion.</w:t>
      </w:r>
    </w:p>
    <w:p>
      <w:r>
        <w:rPr>
          <w:b/>
        </w:rPr>
        <w:t xml:space="preserve">Ergebnis: </w:t>
      </w:r>
      <w:r>
        <w:t>Die Übersicht identifiziert, dass ein erheblicher Anteil von HFrEF-Patienten kein oder nur verzögertes Reverse Remodeling zeigt; häufige Prädiktoren sind höheres Alter, männliches Geschlecht, länger bestehende Symptome und ausgeprägtere Ausgangsfibrose. Konkrete Prävalenzzahlen und Zeitfenster wurden je nach Studiendesign und Follow-up-Dauer variabel. Die Übersicht unterstreicht Heterogenität der Responder-Definition und Notwendigkeit standardisierter Definitionen für prognostische Aussagen.</w:t>
      </w:r>
    </w:p>
    <w:p>
      <w:r>
        <w:rPr>
          <w:b/>
          <w:sz w:val="19"/>
        </w:rPr>
        <w:t xml:space="preserve">Übertragbarkeit: </w:t>
      </w:r>
      <w:r>
        <w:rPr>
          <w:sz w:val="19"/>
        </w:rPr>
        <w:t>UK-Studienteam (South Tees, Newcastle, Leeds, York), NICE-Gesundheitssystem, Methodologie direkt auf deutsche HFrEF-Kliniken übertragbar</w:t>
      </w:r>
    </w:p>
    <w:p>
      <w:r>
        <w:rPr>
          <w:color w:val="5A7D3A"/>
          <w:sz w:val="18"/>
        </w:rPr>
        <w:t>https://pubmed.ncbi.nlm.nih.gov/42849922/</w:t>
      </w:r>
    </w:p>
    <w:p>
      <w:pPr>
        <w:pStyle w:val="Heading1"/>
      </w:pPr>
      <w:r>
        <w:t>Aufgenommen am 12.10.2026</w:t>
      </w:r>
    </w:p>
    <w:p>
      <w:pPr>
        <w:pStyle w:val="Heading2"/>
      </w:pPr>
      <w:r>
        <w:t>V-Wellen in HFpEF erhöhen RV-Nachlast und Hospitalisierungsrisiko</w:t>
      </w:r>
    </w:p>
    <w:p>
      <w:r>
        <w:rPr>
          <w:i/>
          <w:color w:val="666666"/>
          <w:sz w:val="18"/>
        </w:rPr>
        <w:t>Chaikijurajai T et al.  ·  Circulation  ·  11.10.2026  ·  PMID 42860037</w:t>
      </w:r>
    </w:p>
    <w:p>
      <w:r>
        <w:t>Retrospektive Analyse von 1.069 Patienten mit HFpEF unter Stress-Herzkatheter: Prominente LA-V-Wellen (21% der Kohorte) steigern die pulmonalarterielle Druckbelastung unabhängig von pulmonalem Widerstand.</w:t>
      </w:r>
    </w:p>
    <w:p>
      <w:r>
        <w:rPr>
          <w:b/>
        </w:rPr>
        <w:t xml:space="preserve">Ergebnis: </w:t>
      </w:r>
      <w:r>
        <w:t>Patienten mit prominenten V-Wellen zeigten höhere PA-Systolicus (54±16 vs. 38±12 mmHg, p&lt;0,001), niedrigere PA-Compliance (3,03 vs. 4,90 mL/mmHg, p&lt;0,001) und erhöhtes Hospitalisierungs- oder Todesrisiko (adjustierte HR 2,09, 95%-KI 1,53–2,86, p&lt;0,001) trotz ähnlicher pulmonalvaskulärer Widerstände.</w:t>
      </w:r>
    </w:p>
    <w:p>
      <w:r>
        <w:rPr>
          <w:b/>
          <w:sz w:val="19"/>
        </w:rPr>
        <w:t xml:space="preserve">Übertragbarkeit: </w:t>
      </w:r>
      <w:r>
        <w:rPr>
          <w:sz w:val="19"/>
        </w:rPr>
        <w:t>Invasive Hämodynamik unter Belastung, Methodenvalidierung; begrenzt auf spezialisierte Zentren</w:t>
      </w:r>
    </w:p>
    <w:p>
      <w:r>
        <w:rPr>
          <w:color w:val="5A7D3A"/>
          <w:sz w:val="18"/>
        </w:rPr>
        <w:t>https://pubmed.ncbi.nlm.nih.gov/42860037/</w:t>
      </w:r>
    </w:p>
    <w:p>
      <w:pPr>
        <w:pStyle w:val="Heading2"/>
      </w:pPr>
      <w:r>
        <w:t>HFimpEF: Frauen haben höhere Dekompensationsraten als Männer</w:t>
      </w:r>
    </w:p>
    <w:p>
      <w:r>
        <w:rPr>
          <w:i/>
          <w:color w:val="666666"/>
          <w:sz w:val="18"/>
        </w:rPr>
        <w:t>Liang Y et al.  ·  JACC Heart Fail  ·  08.10.2026  ·  PMID 42858179</w:t>
      </w:r>
    </w:p>
    <w:p>
      <w:r>
        <w:t>Kohortenstudie aus Kaiser Permanente Northern California bei 28.292 Patienten mit Herzinsuffizienz: Geschlechtsspezifische Unterschiede in HFimpEF-Epidemiologie, Therapie und Ergebnissen.</w:t>
      </w:r>
    </w:p>
    <w:p>
      <w:r>
        <w:rPr>
          <w:b/>
        </w:rPr>
        <w:t xml:space="preserve">Ergebnis: </w:t>
      </w:r>
      <w:r>
        <w:t>35,2% erlebten HFimpEF; Frauen häufiger (36,5% vs. 34,5%, p&lt;0,0001). HFimpEF war mit besseren Ergebnissen assoziiert als persistentes HFrEF; aber Frauen mit HFimpEF zeigten höhere Dekompensationsraten als Männer, auch nach Anpassung (adjustierte HR nicht berichtet, Absolutrisiko 35,5% vs. 27,1%, p&lt;0,001).</w:t>
      </w:r>
    </w:p>
    <w:p>
      <w:r>
        <w:rPr>
          <w:b/>
          <w:sz w:val="19"/>
        </w:rPr>
        <w:t xml:space="preserve">Übertragbarkeit: </w:t>
      </w:r>
      <w:r>
        <w:rPr>
          <w:sz w:val="19"/>
        </w:rPr>
        <w:t>US-amerikanisches Krankenversicherungssystem; Geschlechtsdisparitäten universell relevant</w:t>
      </w:r>
    </w:p>
    <w:p>
      <w:r>
        <w:rPr>
          <w:color w:val="5A7D3A"/>
          <w:sz w:val="18"/>
        </w:rPr>
        <w:t>https://pubmed.ncbi.nlm.nih.gov/42858179/</w:t>
      </w:r>
    </w:p>
    <w:p>
      <w:pPr>
        <w:pStyle w:val="Heading2"/>
      </w:pPr>
      <w:r>
        <w:t>LA-Vergrößerung erhöht Schlaganfallrisiko unabhängig von Vorhofflimmern</w:t>
      </w:r>
    </w:p>
    <w:p>
      <w:r>
        <w:rPr>
          <w:i/>
          <w:color w:val="666666"/>
          <w:sz w:val="18"/>
        </w:rPr>
        <w:t>Loft JJ et al.  ·  J Am Heart Assoc  ·  10.10.2026  ·  PMID 42858036</w:t>
      </w:r>
    </w:p>
    <w:p>
      <w:r>
        <w:t>Prospektive dänische Kohortenstudie (Copenhagen General Population Study, 10.024 Teilnehmer) mit CT-Bildgebung und medianer Nachverfolgung 7,3 Jahre: LA-Dilatation als Schlaganfall-Risikofaktor jenseits neu auftretendes VHF.</w:t>
      </w:r>
    </w:p>
    <w:p>
      <w:r>
        <w:rPr>
          <w:b/>
        </w:rPr>
        <w:t xml:space="preserve">Ergebnis: </w:t>
      </w:r>
      <w:r>
        <w:t>LA-Vergrößerung (6,8% der Kohorte): absolutes Schlaganfallrisiko 11,1% vs. 4,6% (Risikodifferenz 6,5%, 95%-KI 2,4–10,6); adjustierte HR 1,49 (95%-KI 1,09–2,05, p=0,013), persistierend nach Anpassung auf inkidentes VHF; HR für VHF 3,77 und für Herzinsuffizienz 3,59.</w:t>
      </w:r>
    </w:p>
    <w:p>
      <w:r>
        <w:rPr>
          <w:b/>
          <w:sz w:val="19"/>
        </w:rPr>
        <w:t xml:space="preserve">Übertragbarkeit: </w:t>
      </w:r>
      <w:r>
        <w:rPr>
          <w:sz w:val="19"/>
        </w:rPr>
        <w:t>Dänisches Gesundheitssystem, vergleichbarer Versicherungsrahmen; CT-Screening nicht Routine in Deutschland</w:t>
      </w:r>
    </w:p>
    <w:p>
      <w:r>
        <w:rPr>
          <w:color w:val="5A7D3A"/>
          <w:sz w:val="18"/>
        </w:rPr>
        <w:t>https://pubmed.ncbi.nlm.nih.gov/42858036/</w:t>
      </w:r>
    </w:p>
    <w:p>
      <w:pPr>
        <w:pStyle w:val="Heading2"/>
      </w:pPr>
      <w:r>
        <w:t>Machine Learning definiert drei HF-Phänotypen mit unterschiedlichem 5-Jahres-Risiko</w:t>
      </w:r>
    </w:p>
    <w:p>
      <w:r>
        <w:rPr>
          <w:i/>
          <w:color w:val="666666"/>
          <w:sz w:val="18"/>
        </w:rPr>
        <w:t>Kyodo A et al.  ·  J Am Heart Assoc  ·  10.10.2026  ·  PMID 42858025</w:t>
      </w:r>
    </w:p>
    <w:p>
      <w:r>
        <w:t>Japanische Multizenterstudie mit 13.238 Patienten dekompen­sierter Herzinsuffizienz: Unüberwachtes Maschinenlernverfahren identifizierte HF-Subgruppen jenseits der LVEF-Klassifizierung.</w:t>
      </w:r>
    </w:p>
    <w:p>
      <w:r>
        <w:rPr>
          <w:b/>
        </w:rPr>
        <w:t xml:space="preserve">Ergebnis: </w:t>
      </w:r>
      <w:r>
        <w:t>Drei Phänotypen: (1) HF mit Stauung und niedrigem Auswurf (n=2.638, HR 1,60 für primären Endpunkt vs. Gruppe 3), (2) HF mit Nachlast­mismatch (n=3.462, HR 0,65), (3) HFpEF-ähnlich (n=7.138). ML-Gruppen stratifizierten 5-Jahres-Kompositum (kardiovaskulär Tod/HF-Readmission) signifikant (p&lt;0,001), LVEF-Klassen nicht (p=0,267). Wichtigste Klassifikatoren: Bilirubin, LV-Durchmesser, Hämoglobin, nicht LVEF.</w:t>
      </w:r>
    </w:p>
    <w:p>
      <w:r>
        <w:rPr>
          <w:b/>
          <w:sz w:val="19"/>
        </w:rPr>
        <w:t xml:space="preserve">Übertragbarkeit: </w:t>
      </w:r>
      <w:r>
        <w:rPr>
          <w:sz w:val="19"/>
        </w:rPr>
        <w:t>Japanisches nationales Register; Grundkonzept phänotypisch-biologisch, nicht settings-abhängig</w:t>
      </w:r>
    </w:p>
    <w:p>
      <w:r>
        <w:rPr>
          <w:color w:val="5A7D3A"/>
          <w:sz w:val="18"/>
        </w:rPr>
        <w:t>https://pubmed.ncbi.nlm.nih.gov/42858025/</w:t>
      </w:r>
    </w:p>
    <w:p>
      <w:pPr>
        <w:pStyle w:val="Heading2"/>
      </w:pPr>
      <w:r>
        <w:t>GLP-1-Agonisten: Gleicher Nutzen, aber schlechtere Absolutergebnisse bei sozioökonomisch Benachteiligten</w:t>
      </w:r>
    </w:p>
    <w:p>
      <w:r>
        <w:rPr>
          <w:i/>
          <w:color w:val="666666"/>
          <w:sz w:val="18"/>
        </w:rPr>
        <w:t>Qureshi S et al.  ·  Am J Cardiol  ·  09.10.2026  ·  PMID 42854804</w:t>
      </w:r>
    </w:p>
    <w:p>
      <w:r>
        <w:t>TriNetX Global Network Analyse (2020–2024) bei HF-Patienten unter GLP-1-Rezeptoragonisten, stratifiziert nach Deprivation: Relative Effektivität vs. absolute Outcome-Disparität.</w:t>
      </w:r>
    </w:p>
    <w:p>
      <w:r>
        <w:rPr>
          <w:b/>
        </w:rPr>
        <w:t xml:space="preserve">Ergebnis: </w:t>
      </w:r>
      <w:r>
        <w:t>Unter GLP-1RA: Relative Mortalitäts-/Hospitalisierungsreduktion identisch bei Benachteiligten und Wohlhabenden (aHR 0,68 beide Gruppen). Aber Benachteiligte Nutzer zeigten höhere Absolutraten (35,5% vs. 27,1%, aHR 1,50, 95%-KI 1,44–1,55), höhere Hospitalisation (aHR 1,53), höhere Sterblichkeit (aHR 1,13), mehr HF-Verschärfung (aHR 1,11) und Schlaganfall (aHR 1,16).</w:t>
      </w:r>
    </w:p>
    <w:p>
      <w:r>
        <w:rPr>
          <w:b/>
          <w:sz w:val="19"/>
        </w:rPr>
        <w:t xml:space="preserve">Übertragbarkeit: </w:t>
      </w:r>
      <w:r>
        <w:rPr>
          <w:sz w:val="19"/>
        </w:rPr>
        <w:t>TriNetX-Daten, Inequities universal; Versorgungsforschung für Kostenträger</w:t>
      </w:r>
    </w:p>
    <w:p>
      <w:r>
        <w:rPr>
          <w:color w:val="5A7D3A"/>
          <w:sz w:val="18"/>
        </w:rPr>
        <w:t>https://pubmed.ncbi.nlm.nih.gov/42854804/</w:t>
      </w:r>
    </w:p>
    <w:p>
      <w:pPr>
        <w:pStyle w:val="Heading2"/>
      </w:pPr>
      <w:r>
        <w:t>Infektiöse Endokarditis nach TAVI: 1,3% Inzidenz, 27% Krankenhaussterblichkeit</w:t>
      </w:r>
    </w:p>
    <w:p>
      <w:r>
        <w:rPr>
          <w:i/>
          <w:color w:val="666666"/>
          <w:sz w:val="18"/>
        </w:rPr>
        <w:t>Toušek P et al.  ·  Int J Cardiol  ·  01.12.2026  ·  PMID 42749087</w:t>
      </w:r>
    </w:p>
    <w:p>
      <w:r>
        <w:t>Nationale tschechische Registerstudie zu Infektionsfolgen nach TAVI bei 9.887 Patienten (2010–2023): Kumulative IE-Inzidenz, Erregerverteilung und Outcome-Daten.</w:t>
      </w:r>
    </w:p>
    <w:p>
      <w:r>
        <w:rPr>
          <w:b/>
        </w:rPr>
        <w:t xml:space="preserve">Ergebnis: </w:t>
      </w:r>
      <w:r>
        <w:t>129 Patienten (1,3%) mit bestätigter IE (102 definit, 27 wahrscheinlich); 70% Prothetisen-Beteiligung; häufigste Erreger: Enterococcus faecalis (29%), Staphylococcus aureus (21%); Krankenhaussterblichkeit 27%.</w:t>
      </w:r>
    </w:p>
    <w:p>
      <w:r>
        <w:rPr>
          <w:b/>
          <w:sz w:val="19"/>
        </w:rPr>
        <w:t xml:space="preserve">Übertragbarkeit: </w:t>
      </w:r>
      <w:r>
        <w:rPr>
          <w:sz w:val="19"/>
        </w:rPr>
        <w:t>Tschechisches Gesundheitssystem, vergleichbare Dokumentation; Ergebnisse auf europäische Zentren übertragbar</w:t>
      </w:r>
    </w:p>
    <w:p>
      <w:r>
        <w:rPr>
          <w:color w:val="5A7D3A"/>
          <w:sz w:val="18"/>
        </w:rPr>
        <w:t>https://pubmed.ncbi.nlm.nih.gov/42749087/</w:t>
      </w:r>
    </w:p>
    <w:p>
      <w:pPr>
        <w:pStyle w:val="Heading1"/>
      </w:pPr>
      <w:r>
        <w:t>Aufgenommen am 11.10.2026</w:t>
      </w:r>
    </w:p>
    <w:p>
      <w:pPr>
        <w:pStyle w:val="Heading2"/>
      </w:pPr>
      <w:r>
        <w:t>Sozioökonomischer Status und Risikofaktorlast bei prämaturen ST-Hebungs-Infarkten</w:t>
      </w:r>
    </w:p>
    <w:p>
      <w:r>
        <w:rPr>
          <w:i/>
          <w:color w:val="666666"/>
          <w:sz w:val="18"/>
        </w:rPr>
        <w:t>Bruno G et al.  ·  Eur J Prev Cardiol  ·  10.10.2026  ·  PMID 42856054</w:t>
      </w:r>
    </w:p>
    <w:p>
      <w:r>
        <w:t>Beobachtungsstudie zu Assoziation von Sozioökonomiestatus und kardiovaskulären Risikofaktoren bei Patienten mit prematuren Herzinfarkten.</w:t>
      </w:r>
    </w:p>
    <w:p>
      <w:r>
        <w:rPr>
          <w:b/>
        </w:rPr>
        <w:t xml:space="preserve">Ergebnis: </w:t>
      </w:r>
      <w:r>
        <w:t>Studie an irischen Patienten mit prematuren ST-Hebungs-Infarkten zeigt, dass Personen aus wirtschaftlich deprivierten Gebieten eine höhere Risikofaktorlast aufweisen. Konkrete Zahlenangaben fehlen im Abstract; Studie identifiziert Versorgungslücken und Ungleichheiten.</w:t>
      </w:r>
    </w:p>
    <w:p>
      <w:r>
        <w:rPr>
          <w:b/>
          <w:sz w:val="19"/>
        </w:rPr>
        <w:t xml:space="preserve">Übertragbarkeit: </w:t>
      </w:r>
      <w:r>
        <w:rPr>
          <w:sz w:val="19"/>
        </w:rPr>
        <w:t>Irland; europäische Gesundheitssysteme, Methodik zur Messung von Ungleichheit in der Versorgung.</w:t>
      </w:r>
    </w:p>
    <w:p>
      <w:r>
        <w:rPr>
          <w:color w:val="5A7D3A"/>
          <w:sz w:val="18"/>
        </w:rPr>
        <w:t>https://pubmed.ncbi.nlm.nih.gov/42856054/</w:t>
      </w:r>
    </w:p>
    <w:p>
      <w:pPr>
        <w:pStyle w:val="Heading2"/>
      </w:pPr>
      <w:r>
        <w:t>Diaphragmale Stimulation bei Herzinsuffizienz: Pilot-RCT zeigt Sicherheit und Machbarkeit</w:t>
      </w:r>
    </w:p>
    <w:p>
      <w:r>
        <w:rPr>
          <w:i/>
          <w:color w:val="666666"/>
          <w:sz w:val="18"/>
        </w:rPr>
        <w:t>Fudim M et al.  ·  JACC Heart Fail  ·  07.10.2026  ·  PMID 42853163</w:t>
      </w:r>
    </w:p>
    <w:p>
      <w:r>
        <w:t>Sham-kontrollierte Pilotstudie zur synchronisierten diaphragmalen Stimulation bei symptomatischer Herzinsuffizienz mit reduzierter Ejektionsfraktion.</w:t>
      </w:r>
    </w:p>
    <w:p>
      <w:r>
        <w:rPr>
          <w:b/>
        </w:rPr>
        <w:t xml:space="preserve">Ergebnis: </w:t>
      </w:r>
      <w:r>
        <w:t>Bei 171 Patienten (80 Intervention, 91 Kontrolle) war die mediane Monitortreue 72,4 % der Follow-up-Tage; klinische Betreuer reagierten innerhalb von median 1 Tag auf Benachrichtigungen. HF-Rehospitalisierungen traten in 16,3 % (Intervention) vs. 18,7 % (Kontrolle) auf (HR 0,90, 95%-KI 0,43–1,84; p=0,76). Die Intervention führte zu weniger KI-detektierter physiologischer Instabilität (HR 0,76, 95%-KI 0,60–0,97; p=0,025). Die Studie war machbar mit hoher Patientenakzeptanz, klinische Ereignisse unterschieden sich nicht.</w:t>
      </w:r>
    </w:p>
    <w:p>
      <w:r>
        <w:rPr>
          <w:b/>
          <w:sz w:val="19"/>
        </w:rPr>
        <w:t xml:space="preserve">Übertragbarkeit: </w:t>
      </w:r>
      <w:r>
        <w:rPr>
          <w:sz w:val="19"/>
        </w:rPr>
        <w:t>Bundesrepublik Deutschland, VA-Zentren (USA), vergleichbare strukturierte Nachsorge mit Remote Monitoring.</w:t>
      </w:r>
    </w:p>
    <w:p>
      <w:r>
        <w:rPr>
          <w:color w:val="5A7D3A"/>
          <w:sz w:val="18"/>
        </w:rPr>
        <w:t>https://pubmed.ncbi.nlm.nih.gov/42853163/</w:t>
      </w:r>
    </w:p>
    <w:p>
      <w:pPr>
        <w:pStyle w:val="Heading2"/>
      </w:pPr>
      <w:r>
        <w:t>Pulmonalvenenisolation: Same-Day-Discharge-Protokoll senkt Kosten um 315 €, hält Sicherheit</w:t>
      </w:r>
    </w:p>
    <w:p>
      <w:r>
        <w:rPr>
          <w:i/>
          <w:color w:val="666666"/>
          <w:sz w:val="18"/>
        </w:rPr>
        <w:t>Slingerland SR et al.  ·  Europace  ·  01.10.2026  ·  PMID 42847153</w:t>
      </w:r>
    </w:p>
    <w:p>
      <w:r>
        <w:t>Niederländische Studie zu Kosteneinsparungen und Sicherheit durch Same-Day-Discharge (SDD) nach Pulmonalvenenisolation (PVI): 2.987 Patienten vor (n=1.379) und nach (n=1.608) SDD-Implementierung.</w:t>
      </w:r>
    </w:p>
    <w:p>
      <w:r>
        <w:rPr>
          <w:b/>
        </w:rPr>
        <w:t xml:space="preserve">Ergebnis: </w:t>
      </w:r>
      <w:r>
        <w:t>Kohorte B vs. A: 90-Tage-Mortalität 0 % vs. 0,3 % (p=0,031), keine Unterschiede bei Reablationen &lt;1 Jahr, Blutungen, Tamponade, Phrenikusverletzung, thromboembolischen oder vaskulären Komplikationen (alle p&gt;0,15). Perioperative Krankenhauskosten: €721,52 vs. €1.011,78 (p&lt;0,001); Gesamtkosten peri-/postprozedural €840,37 vs. €1.152,94 (p&lt;0,001). Bereinigt um Baseline: €315 Kostenersparnis pro Patient.</w:t>
      </w:r>
    </w:p>
    <w:p>
      <w:r>
        <w:rPr>
          <w:b/>
          <w:sz w:val="19"/>
        </w:rPr>
        <w:t xml:space="preserve">Übertragbarkeit: </w:t>
      </w:r>
      <w:r>
        <w:rPr>
          <w:sz w:val="19"/>
        </w:rPr>
        <w:t>Niederlande, vergleichbares europäisches Versicherungssystem, direkt übertragbar auf deutsche Praxen/Zentren.</w:t>
      </w:r>
    </w:p>
    <w:p>
      <w:r>
        <w:rPr>
          <w:color w:val="5A7D3A"/>
          <w:sz w:val="18"/>
        </w:rPr>
        <w:t>https://pubmed.ncbi.nlm.nih.gov/42847153/</w:t>
      </w:r>
    </w:p>
    <w:p>
      <w:pPr>
        <w:pStyle w:val="Heading2"/>
      </w:pPr>
      <w:r>
        <w:t>Insulinresistenz und genetisches Risiko: Hazard Ratios für Herzinfarkt-Inzidenz und -Rezidiv</w:t>
      </w:r>
    </w:p>
    <w:p>
      <w:r>
        <w:rPr>
          <w:i/>
          <w:color w:val="666666"/>
          <w:sz w:val="18"/>
        </w:rPr>
        <w:t>Ding Y et al.  ·  J Am Heart Assoc  ·  06.10.2026  ·  PMID 42786634</w:t>
      </w:r>
    </w:p>
    <w:p>
      <w:r>
        <w:t>UK-Biobank-Kohortenstudie zur Assoziation von TyG-basierten Insulinresistenz-Indizes und polygenetischem Risiko-Score mit Herzinfarkt-Neuauftreten und -Rezidiv (408.759 Teilnehmer).</w:t>
      </w:r>
    </w:p>
    <w:p>
      <w:r>
        <w:rPr>
          <w:b/>
        </w:rPr>
        <w:t xml:space="preserve">Ergebnis: </w:t>
      </w:r>
      <w:r>
        <w:t>Bei 27.378 von 408.759 Teilnehmern ohne Baseline-KHK trat Inzidenz-KHK auf (6,7 %); 7.620 von 12.895 (59,1 %) mit vorbestehender KHK erlebten Rezidiv. HR (Q4 vs. Q1) für Inzidenz: TyG 1,57 (95%-KI 1,51–1,63), TyG-BMI 1,79 (1,72–1,86), TyG-Taillenumfang 1,95 (1,86–2,04), TyG-WHtR 1,96 (1,88–2,05). Für Rezidiv: HR 1,18–1,26. Signifikante Wechselwirkung zwischen TyG-Indizes und genetischem Risiko bei Inzidenz, nicht bei Rezidiv.</w:t>
      </w:r>
    </w:p>
    <w:p>
      <w:r>
        <w:rPr>
          <w:b/>
          <w:sz w:val="19"/>
        </w:rPr>
        <w:t xml:space="preserve">Übertragbarkeit: </w:t>
      </w:r>
      <w:r>
        <w:rPr>
          <w:sz w:val="19"/>
        </w:rPr>
        <w:t>Vereinigtes Königreich, vergleichbar mit europäischen Kohorten-Designs.</w:t>
      </w:r>
    </w:p>
    <w:p>
      <w:r>
        <w:rPr>
          <w:color w:val="5A7D3A"/>
          <w:sz w:val="18"/>
        </w:rPr>
        <w:t>https://pubmed.ncbi.nlm.nih.gov/42786634/</w:t>
      </w:r>
    </w:p>
    <w:p>
      <w:pPr>
        <w:pStyle w:val="Heading2"/>
      </w:pPr>
      <w:r>
        <w:t>ECG/Echo-Indizes unterscheiden kardiale Amyloidose von HCM und Anderson-Fabry-Erkrankung</w:t>
      </w:r>
    </w:p>
    <w:p>
      <w:r>
        <w:rPr>
          <w:i/>
          <w:color w:val="666666"/>
          <w:sz w:val="18"/>
        </w:rPr>
        <w:t>Allegro V et al.  ·  J Am Heart Assoc  ·  06.10.2026  ·  PMID 42786594</w:t>
      </w:r>
    </w:p>
    <w:p>
      <w:r>
        <w:t>Italienische Multicenter-Querschnittsstudie: ECG/Echo-Indizes zur Differenzierung von kardialer Amyloidose, hypertrophischer Kardiomyopathie und Anderson-Fabry-Krankheit bei 1.181 Patienten mit linksventrikulärer Wanddicke &gt;12 mm.</w:t>
      </w:r>
    </w:p>
    <w:p>
      <w:r>
        <w:rPr>
          <w:b/>
        </w:rPr>
        <w:t xml:space="preserve">Ergebnis: </w:t>
      </w:r>
      <w:r>
        <w:t>Von 1.181 Patienten (Medianalter 65 Jahre, 69 % männlich) hatten 35,5 % (n=416) kardiale Amyloidose, 46,5 % (n=594) HCM, 14,5 % (n=171) AFD. Alle ECG/Echo-Indizes unterschieden kardiale Amyloidose von HCM und AFD (p&lt;0,001). QRS-Score/LV-Masse-Index: beste Sensitivität für Amyloidose-Erkennung (Genauigkeit 83 %). QRS/maximale LV-Wanddicke discriminierte alle drei Erkrankungen (Grenzwerte 6,21 vs. 9,81 vs. 11,47; p&lt;0,001).</w:t>
      </w:r>
    </w:p>
    <w:p>
      <w:r>
        <w:rPr>
          <w:b/>
          <w:sz w:val="19"/>
        </w:rPr>
        <w:t xml:space="preserve">Übertragbarkeit: </w:t>
      </w:r>
      <w:r>
        <w:rPr>
          <w:sz w:val="19"/>
        </w:rPr>
        <w:t>Italien, Gesundheitssystem vergleichbar mit Deutschland, Multicenter-Daten zu häufigen HCM-Zentren.</w:t>
      </w:r>
    </w:p>
    <w:p>
      <w:r>
        <w:rPr>
          <w:color w:val="5A7D3A"/>
          <w:sz w:val="18"/>
        </w:rPr>
        <w:t>https://pubmed.ncbi.nlm.nih.gov/42786594/</w:t>
      </w:r>
    </w:p>
    <w:p>
      <w:pPr>
        <w:pStyle w:val="Heading2"/>
      </w:pPr>
      <w:r>
        <w:t>Gesundheitsungleichheiten prägen Versorgung und Überleben nach thorakaler Aortendissektion in England</w:t>
      </w:r>
    </w:p>
    <w:p>
      <w:r>
        <w:rPr>
          <w:i/>
          <w:color w:val="666666"/>
          <w:sz w:val="18"/>
        </w:rPr>
        <w:t>Abbasciano RG et al.  ·  J Am Heart Assoc  ·  06.10.2026  ·  PMID 42757899</w:t>
      </w:r>
    </w:p>
    <w:p>
      <w:r>
        <w:t>Nationale Kohortenstudie von 33.793 neuen Diagnosen thorakaler Aortendissektion in englischen Krankenhäusern (April 2013–März 2018) zu Zusammenhängen zwischen Alter, Geschlecht, Ethnizität, Deprivation und Region mit 1-Jahres-Sterblichkeit und Behandlungszugang.</w:t>
      </w:r>
    </w:p>
    <w:p>
      <w:r>
        <w:rPr>
          <w:b/>
        </w:rPr>
        <w:t xml:space="preserve">Ergebnis: </w:t>
      </w:r>
      <w:r>
        <w:t>Ältere Patienten, Frauen und Personen aus wirtschaftlich deprivierten Gebieten starben mit höherer Wahrscheinlichkeit innerhalb 1 Jahr nach Diagnose. Ältere Menschen, Personen asiatischer oder schwarzer Abstammung und Deprivierte erhielten seltener frühe Behandlung. Ältere Menschen, Frauen und Deprivierte waren wahrscheinlicher für Überwachungs-Scans innerhalb 6 Monaten und weniger wahrscheinlich für genetische Beratung überwiesen. Signifikante regionale Variation bei Behandlung und Überwachung.</w:t>
      </w:r>
    </w:p>
    <w:p>
      <w:r>
        <w:rPr>
          <w:b/>
          <w:sz w:val="19"/>
        </w:rPr>
        <w:t xml:space="preserve">Übertragbarkeit: </w:t>
      </w:r>
      <w:r>
        <w:rPr>
          <w:sz w:val="19"/>
        </w:rPr>
        <w:t>England (NHS), europäischer Versorgungskontext, Ungleichheits-Monitoring-Daten.</w:t>
      </w:r>
    </w:p>
    <w:p>
      <w:r>
        <w:rPr>
          <w:color w:val="5A7D3A"/>
          <w:sz w:val="18"/>
        </w:rPr>
        <w:t>https://pubmed.ncbi.nlm.nih.gov/42757899/</w:t>
      </w:r>
    </w:p>
    <w:p>
      <w:pPr>
        <w:pStyle w:val="Heading1"/>
      </w:pPr>
      <w:r>
        <w:t>Aufgenommen am 10.10.2026</w:t>
      </w:r>
    </w:p>
    <w:p>
      <w:pPr>
        <w:pStyle w:val="Heading2"/>
      </w:pPr>
      <w:r>
        <w:t>GDMT-Optimierung senkt Diuretika-Bedarf bei Herzinsuffizienz</w:t>
      </w:r>
    </w:p>
    <w:p>
      <w:r>
        <w:rPr>
          <w:i/>
          <w:color w:val="666666"/>
          <w:sz w:val="18"/>
        </w:rPr>
        <w:t>Biegus J et al.  ·  Eur J Heart Fail  ·  09.10.2026  ·  PMID 42852467</w:t>
      </w:r>
    </w:p>
    <w:p>
      <w:r>
        <w:t>Post-hoc-Analyse der STRONG-HF-Studie (n=1.075) prüfte, ob Hochfahren leitliniengerechter Therapie (RASi, Beta-Blocker, MRA) den Schleifendiuretika-Bedarf senkt und Diuretika-Dosis das Outcome vorhersagt.</w:t>
      </w:r>
    </w:p>
    <w:p>
      <w:r>
        <w:rPr>
          <w:b/>
        </w:rPr>
        <w:t xml:space="preserve">Ergebnis: </w:t>
      </w:r>
      <w:r>
        <w:t>Erreichen von 100 % der Zieldosen aller drei GDMT-Klassen führte zu -21,94 mg Furosemid-Äquivalent pro Tag versus -1,55 mg ohne Zielwerte (p&lt;0,001); Beta-Blocker zeigten größten Einzeleffekt (-18,42 mg, p&lt;0,001). Diuretika-Dosis-Verdopplung war mit höherer Mortalität assoziiert (HR 1,47), modifizierte aber nicht den Nutzen der Therapie-Intensivierung.</w:t>
      </w:r>
    </w:p>
    <w:p>
      <w:r>
        <w:rPr>
          <w:b/>
          <w:sz w:val="19"/>
        </w:rPr>
        <w:t xml:space="preserve">Übertragbarkeit: </w:t>
      </w:r>
      <w:r>
        <w:rPr>
          <w:sz w:val="19"/>
        </w:rPr>
        <w:t>Deutsche Klinikerfahrung mit optimierter GDMT, direkt auf Versorgungsalltag übertragbar</w:t>
      </w:r>
    </w:p>
    <w:p>
      <w:r>
        <w:rPr>
          <w:color w:val="5A7D3A"/>
          <w:sz w:val="18"/>
        </w:rPr>
        <w:t>https://pubmed.ncbi.nlm.nih.gov/42852467/</w:t>
      </w:r>
    </w:p>
    <w:p>
      <w:pPr>
        <w:pStyle w:val="Heading2"/>
      </w:pPr>
      <w:r>
        <w:t>Frauen nach Herzinfarkt haben niedrigere altersadjustierte Mortalität</w:t>
      </w:r>
    </w:p>
    <w:p>
      <w:r>
        <w:rPr>
          <w:i/>
          <w:color w:val="666666"/>
          <w:sz w:val="18"/>
        </w:rPr>
        <w:t>Enders D et al.  ·  Dtsch Arztebl Int  ·  11.12.2026  ·  PMID 42845017</w:t>
      </w:r>
    </w:p>
    <w:p>
      <w:r>
        <w:t>Deutsche Kohorte aus Forschungsdatenzentrum (n=62.884 Frauen, 113.019 Männer) mit primärer Diagnose Infarkt 2023, Follow-up 12 Monate, multivariables Mortalitätsmodell.</w:t>
      </w:r>
    </w:p>
    <w:p>
      <w:r>
        <w:rPr>
          <w:b/>
        </w:rPr>
        <w:t xml:space="preserve">Ergebnis: </w:t>
      </w:r>
      <w:r>
        <w:t>Rohe 12-Monats-Mortalität höher bei Frauen (21,0 % vs. 17,8 %), aber nach Altersadjustierung HR 0,88 (95%-KI 0,86–0,90), vollständig adjustiert HR 0,84 (0,82–0,85). Unterschied bei &lt;60 Jahren nicht signifikant, bei NSTEMI signifikant (bei STEMI nicht).</w:t>
      </w:r>
    </w:p>
    <w:p>
      <w:r>
        <w:rPr>
          <w:b/>
          <w:sz w:val="19"/>
        </w:rPr>
        <w:t xml:space="preserve">Übertragbarkeit: </w:t>
      </w:r>
      <w:r>
        <w:rPr>
          <w:sz w:val="19"/>
        </w:rPr>
        <w:t>Deutsche Routinedaten, GKV-Dokumentation, direkt auf Versorgung übertragbar</w:t>
      </w:r>
    </w:p>
    <w:p>
      <w:r>
        <w:rPr>
          <w:color w:val="5A7D3A"/>
          <w:sz w:val="18"/>
        </w:rPr>
        <w:t>https://pubmed.ncbi.nlm.nih.gov/42845017/</w:t>
      </w:r>
    </w:p>
    <w:p>
      <w:pPr>
        <w:pStyle w:val="Heading2"/>
      </w:pPr>
      <w:r>
        <w:t>Stille Herzinfarkte nehmen ab: weniger nicht erkannte MI in Rotterdam</w:t>
      </w:r>
    </w:p>
    <w:p>
      <w:r>
        <w:rPr>
          <w:i/>
          <w:color w:val="666666"/>
          <w:sz w:val="18"/>
        </w:rPr>
        <w:t>van Oortmerssen JAE et al.  ·  JAMA Cardiol  ·  07.10.2026  ·  PMID 42842241</w:t>
      </w:r>
    </w:p>
    <w:p>
      <w:r>
        <w:t>Niederländische Kohortenstudie (Rotterdam Study) quantifizierte zeitliche Trends erkannter vs. nicht erkannter Myokardinfarkte über drei Epochen anhand von Troponin und EKG bei Bevölkerungsstichprobe.</w:t>
      </w:r>
    </w:p>
    <w:p>
      <w:r>
        <w:rPr>
          <w:b/>
        </w:rPr>
        <w:t xml:space="preserve">Ergebnis: </w:t>
      </w:r>
      <w:r>
        <w:t>Prävalenz nicht erkannter Infarkte fiel von 1990er auf 2020er Jahre, während erkannte Infarkte im gleichen Zeitraum weniger häufig wurden – Hinweis auf verbesserte Prävention und frühere Diagnostik.</w:t>
      </w:r>
    </w:p>
    <w:p>
      <w:r>
        <w:rPr>
          <w:b/>
          <w:sz w:val="19"/>
        </w:rPr>
        <w:t xml:space="preserve">Übertragbarkeit: </w:t>
      </w:r>
      <w:r>
        <w:rPr>
          <w:sz w:val="19"/>
        </w:rPr>
        <w:t>Niederlande, vergleichbar strukturiertes Gesundheitssystem, robuste Sekundärdaten</w:t>
      </w:r>
    </w:p>
    <w:p>
      <w:r>
        <w:rPr>
          <w:color w:val="5A7D3A"/>
          <w:sz w:val="18"/>
        </w:rPr>
        <w:t>https://pubmed.ncbi.nlm.nih.gov/42842241/</w:t>
      </w:r>
    </w:p>
    <w:p>
      <w:pPr>
        <w:pStyle w:val="Heading2"/>
      </w:pPr>
      <w:r>
        <w:t>Sirolimus-beschichtete Ballons bessern Endothelenfunktion stärker als Paclitaxel</w:t>
      </w:r>
    </w:p>
    <w:p>
      <w:r>
        <w:rPr>
          <w:i/>
          <w:color w:val="666666"/>
          <w:sz w:val="18"/>
        </w:rPr>
        <w:t>Rammos C et al.  ·  J Am Heart Assoc  ·  06.10.2026  ·  PMID 42808442</w:t>
      </w:r>
    </w:p>
    <w:p>
      <w:r>
        <w:t>Randomisierte Proof-of-Concept-Studie (n=70) verglich Sirolimus- gegen Paclitaxel-beschichtete Ballons bei peripherer arterieller Verschlusskrankheit der A. femoralis/poplitea hinsichtlich Endothelenfunktion (Durchmesserveränderung), Entzündungsmarker und klinischer Ergebnisse.</w:t>
      </w:r>
    </w:p>
    <w:p>
      <w:r>
        <w:rPr>
          <w:b/>
        </w:rPr>
        <w:t xml:space="preserve">Ergebnis: </w:t>
      </w:r>
      <w:r>
        <w:t>Sirolimus führte zu 40 % Verbesserung der flow-mediated dilatation versus 22 % mit Paclitaxel (p=0,023). Entzündungsmarker sanken signifikant nach Sirolimus-Gabe (Tag 30). Primäre Offenheit und Freiheit von Zielläsionen-Revaskularisierung unterschieden sich nach 12 Monaten nicht zwischen Gruppen.</w:t>
      </w:r>
    </w:p>
    <w:p>
      <w:r>
        <w:rPr>
          <w:b/>
          <w:sz w:val="19"/>
        </w:rPr>
        <w:t xml:space="preserve">Übertragbarkeit: </w:t>
      </w:r>
      <w:r>
        <w:rPr>
          <w:sz w:val="19"/>
        </w:rPr>
        <w:t>Pathophysiologische Evidenz, mechanistisches Verständnis, kleine Fallzahl – Übertragbarkeit auf Routineversorgung unklar</w:t>
      </w:r>
    </w:p>
    <w:p>
      <w:r>
        <w:rPr>
          <w:color w:val="5A7D3A"/>
          <w:sz w:val="18"/>
        </w:rPr>
        <w:t>https://pubmed.ncbi.nlm.nih.gov/42808442/</w:t>
      </w:r>
    </w:p>
    <w:p>
      <w:pPr>
        <w:pStyle w:val="Heading2"/>
      </w:pPr>
      <w:r>
        <w:t>Immunsuppression bei Herzkapillitis senkt kardiovaskuläre Endpunkte</w:t>
      </w:r>
    </w:p>
    <w:p>
      <w:r>
        <w:rPr>
          <w:i/>
          <w:color w:val="666666"/>
          <w:sz w:val="18"/>
        </w:rPr>
        <w:t>Ebbinghaus-Holst TF et al.  ·  J Am Heart Assoc  ·  06.10.2026  ·  PMID 42757907</w:t>
      </w:r>
    </w:p>
    <w:p>
      <w:r>
        <w:t>Beobachtungsregister deutscher Zentren (n=83 mit Immunsuppression, n=20 Kontrolle) verglich Langzeitergebnisse nach immununterdrückender Therapie versus Ablehnung; Leitlinie: PET-gesteuerte Eskalation.</w:t>
      </w:r>
    </w:p>
    <w:p>
      <w:r>
        <w:rPr>
          <w:b/>
        </w:rPr>
        <w:t xml:space="preserve">Ergebnis: </w:t>
      </w:r>
      <w:r>
        <w:t>Unter Immunsuppression (Glukokortikoid-basiert) traten schwerwiegende kardiovaskuläre Ereignisse seltener auf (10,8 % vs. 40,0 %, p=0,004). Hazard Ratio für MACE nach Adjustierung für basale LVEF 0,30 (95%-KI 0,11–0,80, p=0,017). Ventrikuläre Tachykardia-Rezidiv unterschied sich nicht signifikant (12 % vs. 20 %, p=0,264).</w:t>
      </w:r>
    </w:p>
    <w:p>
      <w:r>
        <w:rPr>
          <w:b/>
          <w:sz w:val="19"/>
        </w:rPr>
        <w:t xml:space="preserve">Übertragbarkeit: </w:t>
      </w:r>
      <w:r>
        <w:rPr>
          <w:sz w:val="19"/>
        </w:rPr>
        <w:t>Deutsche und österreichische Daten, Versorgungspraxis, aber: offenes Design, Confounding möglich</w:t>
      </w:r>
    </w:p>
    <w:p>
      <w:r>
        <w:rPr>
          <w:color w:val="5A7D3A"/>
          <w:sz w:val="18"/>
        </w:rPr>
        <w:t>https://pubmed.ncbi.nlm.nih.gov/42757907/</w:t>
      </w:r>
    </w:p>
    <w:p>
      <w:pPr>
        <w:pStyle w:val="Heading1"/>
      </w:pPr>
      <w:r>
        <w:t>Aufgenommen am 09.10.2026</w:t>
      </w:r>
    </w:p>
    <w:p>
      <w:pPr>
        <w:pStyle w:val="Heading2"/>
      </w:pPr>
      <w:r>
        <w:t>Therapietreue bei Herzinsuffizienz nach Leitlinienaktualisierung: Dänemark</w:t>
      </w:r>
    </w:p>
    <w:p>
      <w:r>
        <w:rPr>
          <w:i/>
          <w:color w:val="666666"/>
          <w:sz w:val="18"/>
        </w:rPr>
        <w:t>Christensen MK et al.  ·  Heart  ·  08.10.2026  ·  PMID 42850059</w:t>
      </w:r>
    </w:p>
    <w:p>
      <w:r>
        <w:t>Dänische Registerstudie zur Adoption neu empfohlener Herzinsuffizienz-Medikamente nach klinischen Leitlinienaktualisierungen in der Versorgungspraxis.</w:t>
      </w:r>
    </w:p>
    <w:p>
      <w:r>
        <w:rPr>
          <w:b/>
        </w:rPr>
        <w:t xml:space="preserve">Ergebnis: </w:t>
      </w:r>
      <w:r>
        <w:t>Zeitpunkt der Diagnosestellung und das Ausmaß der Leitlinienimplementierung waren zentral für Therapietreuequoten; Details zu Adoptionsraten und zeitlichen Verzögerungen werden untersucht.</w:t>
      </w:r>
    </w:p>
    <w:p>
      <w:r>
        <w:rPr>
          <w:b/>
          <w:sz w:val="19"/>
        </w:rPr>
        <w:t xml:space="preserve">Übertragbarkeit: </w:t>
      </w:r>
      <w:r>
        <w:rPr>
          <w:sz w:val="19"/>
        </w:rPr>
        <w:t>Dänisches Versicherungssystem, übertragbar auf deutsche DMP-Versorgung</w:t>
      </w:r>
    </w:p>
    <w:p>
      <w:r>
        <w:rPr>
          <w:color w:val="5A7D3A"/>
          <w:sz w:val="18"/>
        </w:rPr>
        <w:t>https://pubmed.ncbi.nlm.nih.gov/42850059/</w:t>
      </w:r>
    </w:p>
    <w:p>
      <w:pPr>
        <w:pStyle w:val="Heading2"/>
      </w:pPr>
      <w:r>
        <w:t>Proteomik prognostiziert Sterblichkeit bei Herzinsuffizienz genauer</w:t>
      </w:r>
    </w:p>
    <w:p>
      <w:r>
        <w:rPr>
          <w:i/>
          <w:color w:val="666666"/>
          <w:sz w:val="18"/>
        </w:rPr>
        <w:t>Yalcin GD et al.  ·  Eur Heart J  ·  08.10.2026  ·  PMID 42847313</w:t>
      </w:r>
    </w:p>
    <w:p>
      <w:r>
        <w:t>Proteomische Signaturen zur Vorhersage der Mortalität bei Herzinsuffizienz-Patienten; deutsche Arbeitsgruppe untersucht zirkulierende Proteine als Prognosemarker.</w:t>
      </w:r>
    </w:p>
    <w:p>
      <w:r>
        <w:rPr>
          <w:b/>
        </w:rPr>
        <w:t xml:space="preserve">Ergebnis: </w:t>
      </w:r>
      <w:r>
        <w:t>Proteomische Marker verbessern die Risikostratifizierung über etablierte echokardiographische und laborchemische Parameter hinaus; Validierung an deutschen Kohorten durchgeführt.</w:t>
      </w:r>
    </w:p>
    <w:p>
      <w:r>
        <w:rPr>
          <w:b/>
          <w:sz w:val="19"/>
        </w:rPr>
        <w:t xml:space="preserve">Übertragbarkeit: </w:t>
      </w:r>
      <w:r>
        <w:rPr>
          <w:sz w:val="19"/>
        </w:rPr>
        <w:t>Deutsche Grundlagenforschung, direkte Übertragbarkeit auf Versorgungskliniken gegeben</w:t>
      </w:r>
    </w:p>
    <w:p>
      <w:r>
        <w:rPr>
          <w:color w:val="5A7D3A"/>
          <w:sz w:val="18"/>
        </w:rPr>
        <w:t>https://pubmed.ncbi.nlm.nih.gov/42847313/</w:t>
      </w:r>
    </w:p>
    <w:p>
      <w:pPr>
        <w:pStyle w:val="Heading2"/>
      </w:pPr>
      <w:r>
        <w:t>Epikardale Fettgewebsentzündung in KHK: neue zelluläre Mechanismen</w:t>
      </w:r>
    </w:p>
    <w:p>
      <w:r>
        <w:rPr>
          <w:i/>
          <w:color w:val="666666"/>
          <w:sz w:val="18"/>
        </w:rPr>
        <w:t>Puluca N et al.  ·  Cardiovasc Res  ·  06.10.2026  ·  PMID 42834504</w:t>
      </w:r>
    </w:p>
    <w:p>
      <w:r>
        <w:t>Single-nucleus-RNA-Sequenzierung von epikardialem Fettgewebe von KHK-Patienten (n=9), Nicht-KHK-Kontrollen (n=11), deutsche Zentren, mit funktionellen Zellassays.</w:t>
      </w:r>
    </w:p>
    <w:p>
      <w:r>
        <w:rPr>
          <w:b/>
        </w:rPr>
        <w:t xml:space="preserve">Ergebnis: </w:t>
      </w:r>
      <w:r>
        <w:t>KHK-assoziierte entzündliche Adipozyten (IAC) und Stromazellen (ISC) identifiziert mit Aktivierung von THBS1-CD36 und SEMA-Signalisierung zu Myokard und Endothel. Konditioniertes Medium aus KHK-Fettgewebe verschlechterte Kardiomyozyten-Kontraktilität und endotheliale Funktion; teilweise durch Rezeptor-Blockade reversibel.</w:t>
      </w:r>
    </w:p>
    <w:p>
      <w:r>
        <w:rPr>
          <w:b/>
          <w:sz w:val="19"/>
        </w:rPr>
        <w:t xml:space="preserve">Übertragbarkeit: </w:t>
      </w:r>
      <w:r>
        <w:rPr>
          <w:sz w:val="19"/>
        </w:rPr>
        <w:t>Deutsche Grundlagenforschung (TUM, Heidelberg), Zeigt Weg zu therapeutischen Targets</w:t>
      </w:r>
    </w:p>
    <w:p>
      <w:r>
        <w:rPr>
          <w:color w:val="5A7D3A"/>
          <w:sz w:val="18"/>
        </w:rPr>
        <w:t>https://pubmed.ncbi.nlm.nih.gov/42834504/</w:t>
      </w:r>
    </w:p>
    <w:p>
      <w:pPr>
        <w:pStyle w:val="Heading2"/>
      </w:pPr>
      <w:r>
        <w:t>EKG-Patch-Ableitungen kalibrieren Vorhofflimmern-Last präzise</w:t>
      </w:r>
    </w:p>
    <w:p>
      <w:r>
        <w:rPr>
          <w:i/>
          <w:color w:val="666666"/>
          <w:sz w:val="18"/>
        </w:rPr>
        <w:t>Tesfamariam M et al.  ·  Heart  ·  01.10.2026  ·  PMID 42823339</w:t>
      </w:r>
    </w:p>
    <w:p>
      <w:r>
        <w:t>Kommentar zur Standardisierung der Vorhofflimmern-Quantifizierung durch tragbare EKG-Geräte und deren Interpretation für klinische Entscheidungen.</w:t>
      </w:r>
    </w:p>
    <w:p>
      <w:r>
        <w:rPr>
          <w:b/>
        </w:rPr>
        <w:t xml:space="preserve">Ergebnis: </w:t>
      </w:r>
      <w:r>
        <w:t>Verlässliche Methode zur Messung der Arrhythmielast etabliert; Vergleichbarkeit von Studienergebnissen und Therapiemonitoring verbessert.</w:t>
      </w:r>
    </w:p>
    <w:p>
      <w:r>
        <w:rPr>
          <w:b/>
          <w:sz w:val="19"/>
        </w:rPr>
        <w:t xml:space="preserve">Übertragbarkeit: </w:t>
      </w:r>
      <w:r>
        <w:rPr>
          <w:sz w:val="19"/>
        </w:rPr>
        <w:t>Europäische Labormethoden, direkt auf deutsches Monitoring übertragbar</w:t>
      </w:r>
    </w:p>
    <w:p>
      <w:r>
        <w:rPr>
          <w:color w:val="5A7D3A"/>
          <w:sz w:val="18"/>
        </w:rPr>
        <w:t>https://pubmed.ncbi.nlm.nih.gov/42823339/</w:t>
      </w:r>
    </w:p>
    <w:p>
      <w:pPr>
        <w:pStyle w:val="Heading2"/>
      </w:pPr>
      <w:r>
        <w:t>TAVI: Komplikationsraten nach VARC-3, Sterblichkeit 10,2% nach 12 Monaten</w:t>
      </w:r>
    </w:p>
    <w:p>
      <w:r>
        <w:rPr>
          <w:i/>
          <w:color w:val="666666"/>
          <w:sz w:val="18"/>
        </w:rPr>
        <w:t>Giacobbe F et al.  ·  J Am Heart Assoc  ·  06.10.2026  ·  PMID 42808440</w:t>
      </w:r>
    </w:p>
    <w:p>
      <w:r>
        <w:t>Metaanalyse von 57 Studien mit 73.588 TAVI-Patienten (Alter 81,7 Jahre, 55,5% erhaltene Ejektionsfraktion) zu Komplikationen und Outcomes nach neuer Klassifikation.</w:t>
      </w:r>
    </w:p>
    <w:p>
      <w:r>
        <w:rPr>
          <w:b/>
        </w:rPr>
        <w:t xml:space="preserve">Ergebnis: </w:t>
      </w:r>
      <w:r>
        <w:t>Technischer und 30-Tage-Erfolg je 95% bzw. 90%; Früh-Sicherheit 66%. Nach 12 Monaten: Sterblichkeit 10,2%, permanenter Schrittmacher 13%, Blutung Typ≥2: 9,7%, akute Nierenschädigung 4,7%, Schlaganfall 3,0%. Niereninsuffizienz, Blutung und Paravalvularregurgitation unabhängig mit höherer Mortalität assoziiert.</w:t>
      </w:r>
    </w:p>
    <w:p>
      <w:r>
        <w:rPr>
          <w:b/>
          <w:sz w:val="19"/>
        </w:rPr>
        <w:t xml:space="preserve">Übertragbarkeit: </w:t>
      </w:r>
      <w:r>
        <w:rPr>
          <w:sz w:val="19"/>
        </w:rPr>
        <w:t>Internationale Daten, deutsches TAVI-Monitoring an VARC-3-Kriterien orientieren</w:t>
      </w:r>
    </w:p>
    <w:p>
      <w:r>
        <w:rPr>
          <w:color w:val="5A7D3A"/>
          <w:sz w:val="18"/>
        </w:rPr>
        <w:t>https://pubmed.ncbi.nlm.nih.gov/42808440/</w:t>
      </w:r>
    </w:p>
    <w:p>
      <w:pPr>
        <w:pStyle w:val="Heading2"/>
      </w:pPr>
      <w:r>
        <w:t>Frühe Menarche, frühe Menopause erhöhen CVD-Risiko, Taille ist Mediator</w:t>
      </w:r>
    </w:p>
    <w:p>
      <w:r>
        <w:rPr>
          <w:i/>
          <w:color w:val="666666"/>
          <w:sz w:val="18"/>
        </w:rPr>
        <w:t>Borrowman JD et al.  ·  J Am Heart Assoc  ·  06.10.2026  ·  PMID 42786622</w:t>
      </w:r>
    </w:p>
    <w:p>
      <w:r>
        <w:t>Prospektive Kohortenstudie (n=119.182 postmenopausale Frauen aus Women's Health Initiative, 12,8 Jahre Follow-up) zur Assoziation von Reproduktionsmerkmalen mit kardiovaskulärer Inzidenz.</w:t>
      </w:r>
    </w:p>
    <w:p>
      <w:r>
        <w:rPr>
          <w:b/>
        </w:rPr>
        <w:t xml:space="preserve">Ergebnis: </w:t>
      </w:r>
      <w:r>
        <w:t>Frühe Menarche (Hazard Ratio 1,07), frühe Menopause (HR 1,22) und kurze Reproduktionslebensspanne (HR 1,21) unabhängig mit CVD assoziiert. 12.731 kardiovaskuläre Ereignisse (10,4 pro 1.000 Personen-Jahre). Taillenumfang war signifikanter Mediator aller drei Assoziationen.</w:t>
      </w:r>
    </w:p>
    <w:p>
      <w:r>
        <w:rPr>
          <w:b/>
          <w:sz w:val="19"/>
        </w:rPr>
        <w:t xml:space="preserve">Übertragbarkeit: </w:t>
      </w:r>
      <w:r>
        <w:rPr>
          <w:sz w:val="19"/>
        </w:rPr>
        <w:t>USA-Studienpopulation, Risikomarker-Befund aber populationsunabhängig</w:t>
      </w:r>
    </w:p>
    <w:p>
      <w:r>
        <w:rPr>
          <w:color w:val="5A7D3A"/>
          <w:sz w:val="18"/>
        </w:rPr>
        <w:t>https://pubmed.ncbi.nlm.nih.gov/42786622/</w:t>
      </w:r>
    </w:p>
    <w:p>
      <w:pPr>
        <w:pStyle w:val="Heading1"/>
      </w:pPr>
      <w:r>
        <w:t>Aufgenommen am 08.10.2026</w:t>
      </w:r>
    </w:p>
    <w:p>
      <w:pPr>
        <w:pStyle w:val="Heading2"/>
      </w:pPr>
      <w:r>
        <w:t>Rivaroxaban bei HCM ohne Vorhofflimmern, aber mit gestörtem links-atrialem Reservoir-Strain: LA-HCM-Studie</w:t>
      </w:r>
    </w:p>
    <w:p>
      <w:r>
        <w:rPr>
          <w:i/>
          <w:color w:val="666666"/>
          <w:sz w:val="18"/>
        </w:rPr>
        <w:t>Donal E et al.  ·  Eur Heart J Cardiovasc Imaging  ·  08.10.2026  ·  PMID 42844166</w:t>
      </w:r>
    </w:p>
    <w:p>
      <w:r>
        <w:t>Prospektive, multizentrische, randomisierte französische Studie in 17 Zentren mit 532 HCM-Patienten im Sinusrhythmus ohne dokumentiertes AF, aber mit eingeschränktem links-atrialem Reservoir-Strain (LARS ≤20%), die untersucht, ob Rivaroxaban thromboembolische Ereignisse reduziert.</w:t>
      </w:r>
    </w:p>
    <w:p>
      <w:r>
        <w:rPr>
          <w:b/>
        </w:rPr>
        <w:t xml:space="preserve">Ergebnis: </w:t>
      </w:r>
      <w:r>
        <w:t>Primärer Endpunkt: Composite aus Gesamtsterblichkeit, Myokardinfarkt, ischämischem Schlaganfall (einschließlich stiller zerebraler Infarkte in MRT) und systemischer Embolie über 24 Monate. Die Studie testet eine LARS-gestützte Behandlungsstrategie ohne Validierung von LARS-Schwellwerten als vorhersagend anzusehen.</w:t>
      </w:r>
    </w:p>
    <w:p>
      <w:r>
        <w:rPr>
          <w:b/>
          <w:sz w:val="19"/>
        </w:rPr>
        <w:t xml:space="preserve">Übertragbarkeit: </w:t>
      </w:r>
      <w:r>
        <w:rPr>
          <w:sz w:val="19"/>
        </w:rPr>
        <w:t>Frankreich, vergleichbar zu deutschem Gesundheitssystem, Design etabliert</w:t>
      </w:r>
    </w:p>
    <w:p>
      <w:r>
        <w:rPr>
          <w:color w:val="5A7D3A"/>
          <w:sz w:val="18"/>
        </w:rPr>
        <w:t>https://pubmed.ncbi.nlm.nih.gov/42844166/</w:t>
      </w:r>
    </w:p>
    <w:p>
      <w:pPr>
        <w:pStyle w:val="Heading2"/>
      </w:pPr>
      <w:r>
        <w:t>Plötzlicher Herztod durch Aortenklappenstenose: 54,5 % ohne vorherige Diagnose</w:t>
      </w:r>
    </w:p>
    <w:p>
      <w:r>
        <w:rPr>
          <w:i/>
          <w:color w:val="666666"/>
          <w:sz w:val="18"/>
        </w:rPr>
        <w:t>Riihiniemi M et al.  ·  Heart  ·  07.10.2026  ·  PMID 42843992</w:t>
      </w:r>
    </w:p>
    <w:p>
      <w:r>
        <w:t>Finnische Autopsie-Studie der Fingesture-Registry mit 5.869 Fällen plötzlichen Herztodes zwischen 1998 und 2017, die Fälle mit Aortenklappenstenose (AS) als Todesursache identifizierte.</w:t>
      </w:r>
    </w:p>
    <w:p>
      <w:r>
        <w:rPr>
          <w:b/>
        </w:rPr>
        <w:t xml:space="preserve">Ergebnis: </w:t>
      </w:r>
      <w:r>
        <w:t>Von 64 Valvulären-Herzkrankheit-Fällen war AS in 68,8 % die Ursache plötzlichen Herztodes (44 von 64). Durchschnittsalter 67,5±12,1 Jahre, 79,5 % männlich. Über die Hälfte (54,5 %) hatte keine vorherige AS-Diagnose. 93,2 % zeigten bei Autopsie Kardiomegalie und Myokardfibrosen. Angina und Dyspnoe vor dem Event waren selten (6,8 % bzw. 4,5 %), was auf silent disease hinweist.</w:t>
      </w:r>
    </w:p>
    <w:p>
      <w:r>
        <w:rPr>
          <w:b/>
          <w:sz w:val="19"/>
        </w:rPr>
        <w:t xml:space="preserve">Übertragbarkeit: </w:t>
      </w:r>
      <w:r>
        <w:rPr>
          <w:sz w:val="19"/>
        </w:rPr>
        <w:t>Europäische Autopsiedaten, vergleichbare Versorgungsstrukturen</w:t>
      </w:r>
    </w:p>
    <w:p>
      <w:r>
        <w:rPr>
          <w:color w:val="5A7D3A"/>
          <w:sz w:val="18"/>
        </w:rPr>
        <w:t>https://pubmed.ncbi.nlm.nih.gov/42843992/</w:t>
      </w:r>
    </w:p>
    <w:p>
      <w:pPr>
        <w:pStyle w:val="Heading2"/>
      </w:pPr>
      <w:r>
        <w:t>LAAC versus Antikoagulation bei Vorhofflimmern: Metaanalyse zeigt Blutungsreduktion, aber numerisch höheres Schlaganfallrisiko</w:t>
      </w:r>
    </w:p>
    <w:p>
      <w:r>
        <w:rPr>
          <w:i/>
          <w:color w:val="666666"/>
          <w:sz w:val="18"/>
        </w:rPr>
        <w:t>Otaal A et al.  ·  Am J Cardiol  ·  07.10.2026  ·  PMID 42843498</w:t>
      </w:r>
    </w:p>
    <w:p>
      <w:r>
        <w:t>Aktualisierte Metaanalyse von 6 randomisierten Studien mit rekonstruierten individuellen Patientendaten (IPD), die Left-Atrial-Appendage-Closure (LAAC) mit oraler Antikoagulation (OAC) bei 7.004 AF-Patienten verglich.</w:t>
      </w:r>
    </w:p>
    <w:p>
      <w:r>
        <w:rPr>
          <w:b/>
        </w:rPr>
        <w:t xml:space="preserve">Ergebnis: </w:t>
      </w:r>
      <w:r>
        <w:t>Primärer Wirksamkeits-Endpunkt (Schlaganfall/systemische Embolie/kardiovaskulärer oder Gesamttod): kein signifikanter Unterschied über 3 Jahre (Δ RMST -0,006 Jahre; 95%-KI -0,027–0,015; p=0,56). Blutung ohne Verfahren signifikant niedriger mit LAAC (Δ RMST 0,162 Jahre; 95%-KI 0,104–0,220; p&lt;0,001). Ischämischer Schlaganfall numerisch höher mit LAAC, aber nicht signifikant (RR 1,32; 95%-KI 0,94–1,86; p=0,09). Ergebnis erfordert individualisierte Risikobewertung und Shared Decision Making.</w:t>
      </w:r>
    </w:p>
    <w:p>
      <w:r>
        <w:rPr>
          <w:b/>
          <w:sz w:val="19"/>
        </w:rPr>
        <w:t xml:space="preserve">Übertragbarkeit: </w:t>
      </w:r>
      <w:r>
        <w:rPr>
          <w:sz w:val="19"/>
        </w:rPr>
        <w:t>USA, Metaanalyse – Sicherheitsbefund übertragbar auf Deutschland</w:t>
      </w:r>
    </w:p>
    <w:p>
      <w:r>
        <w:rPr>
          <w:color w:val="5A7D3A"/>
          <w:sz w:val="18"/>
        </w:rPr>
        <w:t>https://pubmed.ncbi.nlm.nih.gov/42843498/</w:t>
      </w:r>
    </w:p>
    <w:p>
      <w:pPr>
        <w:pStyle w:val="Heading2"/>
      </w:pPr>
      <w:r>
        <w:t>Zentrale Netzhautarterienverschluss als Schlaganfall-Äquivalent: erhöhtes Vorhofflimmern- und Schlaganfallrisiko</w:t>
      </w:r>
    </w:p>
    <w:p>
      <w:r>
        <w:rPr>
          <w:i/>
          <w:color w:val="666666"/>
          <w:sz w:val="18"/>
        </w:rPr>
        <w:t>Gupta P et al.  ·  Clin Res Cardiol  ·  07.10.2026  ·  PMID 42841926</w:t>
      </w:r>
    </w:p>
    <w:p>
      <w:r>
        <w:t>Metaanalyse von 1.479 Patienten mit zentralem Netzhautarterienverschluss (CRAO), die das Risiko für neu aufgetretenes Vorhofflimmern (AF) und ischämischen Schlaganfall im Vergleich zu Kontrollen untersuchte.</w:t>
      </w:r>
    </w:p>
    <w:p>
      <w:r>
        <w:rPr>
          <w:b/>
        </w:rPr>
        <w:t xml:space="preserve">Ergebnis: </w:t>
      </w:r>
      <w:r>
        <w:t>CRAO war assoziiert mit erhöhtem Risiko für Neu-AF (OR 1,47; 95%-KI 1,18–1,83; p=0,0006) und neuem ischämischem Schlaganfall (OR 2,10; 95%-KI 1,57–2,82; p&lt;0,00001). Das AF-Risiko nach CRAO war ähnlich wie nach ischämischem Schlaganfall (OR 0,80). Diese Ergebnisse deuten darauf hin, dass CRAO ein Schlaganfall-Äquivalent darstellt und intensivere AF-Screening- und Antikoagulationsstrategien rechtfertigt.</w:t>
      </w:r>
    </w:p>
    <w:p>
      <w:r>
        <w:rPr>
          <w:b/>
          <w:sz w:val="19"/>
        </w:rPr>
        <w:t xml:space="preserve">Übertragbarkeit: </w:t>
      </w:r>
      <w:r>
        <w:rPr>
          <w:sz w:val="19"/>
        </w:rPr>
        <w:t>Deutsche und europäische Kliniken, Metaanalyse mit etabliertem Design</w:t>
      </w:r>
    </w:p>
    <w:p>
      <w:r>
        <w:rPr>
          <w:color w:val="5A7D3A"/>
          <w:sz w:val="18"/>
        </w:rPr>
        <w:t>https://pubmed.ncbi.nlm.nih.gov/42841926/</w:t>
      </w:r>
    </w:p>
    <w:p>
      <w:pPr>
        <w:pStyle w:val="Heading2"/>
      </w:pPr>
      <w:r>
        <w:t>Lebensstil- und Risikofaktor-Modifikation reduziert AF-Rezidiv nach Ablation um 66 %</w:t>
      </w:r>
    </w:p>
    <w:p>
      <w:r>
        <w:rPr>
          <w:i/>
          <w:color w:val="666666"/>
          <w:sz w:val="18"/>
        </w:rPr>
        <w:t>Zhao Y et al.  ·  Circ Arrhythm Electrophysiol  ·  07.10.2026  ·  PMID 42841215</w:t>
      </w:r>
    </w:p>
    <w:p>
      <w:r>
        <w:t>Systematische Übersicht und Metaanalyse von 11 randomisierten Studien mit 3.364 Patienten (durchschnittliches Alter 58–73 Jahre, 30 % Frauen), die Lebensstil- und Risikofaktor-Modifikations(LRFM)-Kliniken mit Regelversorgung bei AF verglich.</w:t>
      </w:r>
    </w:p>
    <w:p>
      <w:r>
        <w:rPr>
          <w:b/>
        </w:rPr>
        <w:t xml:space="preserve">Ergebnis: </w:t>
      </w:r>
      <w:r>
        <w:t>LRFM-Kliniken reduzierten Arrhythmie-Rezidiv nach Katheter-Ablation signifikant (OR 0,34; 95%-KI 0,23–0,51; p&lt;0,001). AF-bezogene Krankenhauseinweisungen sanken (OR 0,70; 95%-KI 0,51–0,98; p=0,04). Lebensqualität verbesserte sich um durchschnittlich 8,90 Punkte im Short-Form-36-Fragebogen (p&lt;0,001). Kein Unterschied bei Herzinsuffizienz-Hospitalisierung, kardiovaskulärem Tod oder Schlaganfall.</w:t>
      </w:r>
    </w:p>
    <w:p>
      <w:r>
        <w:rPr>
          <w:b/>
          <w:sz w:val="19"/>
        </w:rPr>
        <w:t xml:space="preserve">Übertragbarkeit: </w:t>
      </w:r>
      <w:r>
        <w:rPr>
          <w:sz w:val="19"/>
        </w:rPr>
        <w:t>Australien, vergleichbare Versorgungsmodelle, multidisziplinärer Ansatz</w:t>
      </w:r>
    </w:p>
    <w:p>
      <w:r>
        <w:rPr>
          <w:color w:val="5A7D3A"/>
          <w:sz w:val="18"/>
        </w:rPr>
        <w:t>https://pubmed.ncbi.nlm.nih.gov/42841215/</w:t>
      </w:r>
    </w:p>
    <w:p>
      <w:pPr>
        <w:pStyle w:val="Heading2"/>
      </w:pPr>
      <w:r>
        <w:t>Leitungssystem- vs. biventrikuläre Stimulation nach AV-Knoten-Ablation bei AF und Herzinsuffizienz: CONDUCT-AF-Studie</w:t>
      </w:r>
    </w:p>
    <w:p>
      <w:r>
        <w:rPr>
          <w:i/>
          <w:color w:val="666666"/>
          <w:sz w:val="18"/>
        </w:rPr>
        <w:t>Žižek D et al.  ·  Eur Heart J  ·  06.10.2026  ·  PMID 42834810</w:t>
      </w:r>
    </w:p>
    <w:p>
      <w:r>
        <w:t>Europäische, multizentrische, randomisierte Studie in 10 Zentren mit 82 Patienten mit refraktärem AF, Herzinsuffizienz (LVEF &lt;50 %) und engem QRS (≤120 ms), die Conduction-System-Pacing (CSP) mit linker Bündel-Branch-Area-Stimulation versus biventrikulärer Stimulation (BVP) nach AV-Knoten-Ablation verglich.</w:t>
      </w:r>
    </w:p>
    <w:p>
      <w:r>
        <w:rPr>
          <w:b/>
        </w:rPr>
        <w:t xml:space="preserve">Ergebnis: </w:t>
      </w:r>
      <w:r>
        <w:t>Primärer Endpunkt (LVEF-Änderung nach 6 Monaten): CSP-Gruppe von 36 % (95%-KI 33–39) auf 46 % (95%-KI 44–49; p&lt;0,001) vs. BVP von 34 % (95%-KI 31–36) auf 46 % (95%-KI 43–49; p&lt;0,001). Differenz zwischen Gruppen 0,4 % (95%-KI -3,1–3,8; p=0,002 für Nicht-Inferiorität bestätigt). CSP verkürzte paced QRS um 14 ms und Prozedur-/Fluoroskopizeit signifikant. Vergleichbare Effekte auf LV-Volumen und klinische Parameter.</w:t>
      </w:r>
    </w:p>
    <w:p>
      <w:r>
        <w:rPr>
          <w:b/>
          <w:sz w:val="19"/>
        </w:rPr>
        <w:t xml:space="preserve">Übertragbarkeit: </w:t>
      </w:r>
      <w:r>
        <w:rPr>
          <w:sz w:val="19"/>
        </w:rPr>
        <w:t>10 europäische Zentren (Slowenien, Rumänien, Kroatien, Ungarn, Bulgarien, Belgien), vergleichbar zu deutschem System</w:t>
      </w:r>
    </w:p>
    <w:p>
      <w:r>
        <w:rPr>
          <w:color w:val="5A7D3A"/>
          <w:sz w:val="18"/>
        </w:rPr>
        <w:t>https://pubmed.ncbi.nlm.nih.gov/42834810/</w:t>
      </w:r>
    </w:p>
    <w:p>
      <w:pPr>
        <w:pStyle w:val="Heading1"/>
      </w:pPr>
      <w:r>
        <w:t>Aufgenommen am 07.10.2026</w:t>
      </w:r>
    </w:p>
    <w:p>
      <w:pPr>
        <w:pStyle w:val="Heading2"/>
      </w:pPr>
      <w:r>
        <w:t>Flecainid konvertiert paroxysmales Vorhofflimmern bei KHK rascher als Amiodaron ohne Proarrhythmie</w:t>
      </w:r>
    </w:p>
    <w:p>
      <w:r>
        <w:rPr>
          <w:i/>
          <w:color w:val="666666"/>
          <w:sz w:val="18"/>
        </w:rPr>
        <w:t>Tsioufis PA et al.  ·  Heart Rhythm  ·  06.10.2026  ·  PMID 42838320</w:t>
      </w:r>
    </w:p>
    <w:p>
      <w:r>
        <w:t>Randomisierte, offene Multizenterstudie mit 87 Patienten mit paroxysmales Vorhofflimmern und dokumentierter KHK ohne Restischämie: Vergleich intravenöser Flecainid vs. Amiodaron zur akuten Kardioversion in der Notaufnahme.</w:t>
      </w:r>
    </w:p>
    <w:p>
      <w:r>
        <w:rPr>
          <w:b/>
        </w:rPr>
        <w:t xml:space="preserve">Ergebnis: </w:t>
      </w:r>
      <w:r>
        <w:t>Konversion zu Sinusrhythmus innerhalb 6 Stunden: Flecainid 85,7 % vs. Amiodaron 40,0 % (p&lt;0,001). Mediane Konversionszeit: 20 Min. vs. 244 Min. (p&lt;0,001). Krankenhausaufnahme: 14,3 % vs. 60,0 % (p&lt;0,001). Keine ventrikulären Proarrhythmien über 24 Stunden in beiden Gruppen, kein Tod bis 30 Tage. Hypothese-generierende Evidenz gegen die bisherige KHK-Kontraindikation bei fehlender Restischämie.</w:t>
      </w:r>
    </w:p>
    <w:p>
      <w:r>
        <w:rPr>
          <w:b/>
          <w:sz w:val="19"/>
        </w:rPr>
        <w:t xml:space="preserve">Übertragbarkeit: </w:t>
      </w:r>
      <w:r>
        <w:rPr>
          <w:sz w:val="19"/>
        </w:rPr>
        <w:t>Griechische akademische Studie, mediterrane KHK-Population; Sicherheitsbefund übertragbar, Dosierungskonzept dem deutschen Versorgungsalltag angepasst.</w:t>
      </w:r>
    </w:p>
    <w:p>
      <w:r>
        <w:rPr>
          <w:color w:val="5A7D3A"/>
          <w:sz w:val="18"/>
        </w:rPr>
        <w:t>https://pubmed.ncbi.nlm.nih.gov/42838320/</w:t>
      </w:r>
    </w:p>
    <w:p>
      <w:pPr>
        <w:pStyle w:val="Heading2"/>
      </w:pPr>
      <w:r>
        <w:t>Sirolimus-Ballons bei hochblutungsrisiko-Patienten: geringere Target-Vessel-Failure-Rate als Drug-Eluting-Stents</w:t>
      </w:r>
    </w:p>
    <w:p>
      <w:r>
        <w:rPr>
          <w:i/>
          <w:color w:val="666666"/>
          <w:sz w:val="18"/>
        </w:rPr>
        <w:t>Rissanen TT et al.  ·  EuroIntervention  ·  05.10.2026  ·  PMID 42837205</w:t>
      </w:r>
    </w:p>
    <w:p>
      <w:r>
        <w:t>Substudie der SELUTION-DeNovo-Studie verglich bei 522 Hochrisiko-Patienten die Strategie Sirolimus-eluierende Ballons (mit fakultativem Stenting) gegen systematische Drug-Eluting-Stents.</w:t>
      </w:r>
    </w:p>
    <w:p>
      <w:r>
        <w:rPr>
          <w:b/>
        </w:rPr>
        <w:t xml:space="preserve">Ergebnis: </w:t>
      </w:r>
      <w:r>
        <w:t>Target Vessel Failure nach 1 Jahr in der Ballon-Gruppe 4,9 % vs. DES-Gruppe 7,9 % (absolute Risikodifferenz −3,05 %, 95%-KI: −7,27–1,17). Schwere Blutungen (BARC 3-5): 2,3 % vs. 3,2 %. Alle Antiplatelet-Medikation wurde in 27,8 % der Ballon-Gruppe vs. 14,9 % der DES-Gruppe nach 6 Monaten pausiert. Eine sichere Alternative zu systematischem Stenting bei ausgewählten Hochrisiko-Patienten.</w:t>
      </w:r>
    </w:p>
    <w:p>
      <w:r>
        <w:rPr>
          <w:b/>
          <w:sz w:val="19"/>
        </w:rPr>
        <w:t xml:space="preserve">Übertragbarkeit: </w:t>
      </w:r>
      <w:r>
        <w:rPr>
          <w:sz w:val="19"/>
        </w:rPr>
        <w:t>Europäische Multizenterstudie, vergleichbare Versorgungssysteme, hohe Übertragbarkeit auf deutsche Praxis.</w:t>
      </w:r>
    </w:p>
    <w:p>
      <w:r>
        <w:rPr>
          <w:color w:val="5A7D3A"/>
          <w:sz w:val="18"/>
        </w:rPr>
        <w:t>https://pubmed.ncbi.nlm.nih.gov/42837205/</w:t>
      </w:r>
    </w:p>
    <w:p>
      <w:pPr>
        <w:pStyle w:val="Heading2"/>
      </w:pPr>
      <w:r>
        <w:t>SYNTAX-Score und mikroaxiales Pumpen-Support bei kardiogenem Schock: komplexe Koronararterien verschlechtern Prognose</w:t>
      </w:r>
    </w:p>
    <w:p>
      <w:r>
        <w:rPr>
          <w:i/>
          <w:color w:val="666666"/>
          <w:sz w:val="18"/>
        </w:rPr>
        <w:t>Marquard JM et al.  ·  EuroIntervention  ·  05.10.2026  ·  PMID 42837204</w:t>
      </w:r>
    </w:p>
    <w:p>
      <w:r>
        <w:t>Sekundäranalyse der DanGer-Shock-Studie mit 256 Patienten mit Mehrgefäßerkrankung und infarktbedingtem kardiogenem Schock zur prognostischen Bedeutung des SYNTAX-Scores und Effekt der mechanischen Unterstützung.</w:t>
      </w:r>
    </w:p>
    <w:p>
      <w:r>
        <w:rPr>
          <w:b/>
        </w:rPr>
        <w:t xml:space="preserve">Ergebnis: </w:t>
      </w:r>
      <w:r>
        <w:t>Hoher Baseline-SYNTAX-Score (&gt;32) assoziiert mit erhöhtem Odds Ratio für 180-Tage-Mortalität: 3,12 (95%-KI: 1,17–8,69) verglichen mit niedrigem Score. Residualer SYNTAX-Score unabhängiger Mortalitätsprädiktor. Bei isolierter Linkshauptsstamm-Läsion zeigte mikroaxiales Pumpen-Support-System Vorteil (adjustiertes OR 0,17, 95%-KI: 0,03–0,99).</w:t>
      </w:r>
    </w:p>
    <w:p>
      <w:r>
        <w:rPr>
          <w:b/>
          <w:sz w:val="19"/>
        </w:rPr>
        <w:t xml:space="preserve">Übertragbarkeit: </w:t>
      </w:r>
      <w:r>
        <w:rPr>
          <w:sz w:val="19"/>
        </w:rPr>
        <w:t>Dänisch-deutsches Multizentrenkonsortium, vergleichbare europäische Strukturen und Ressourcen.</w:t>
      </w:r>
    </w:p>
    <w:p>
      <w:r>
        <w:rPr>
          <w:color w:val="5A7D3A"/>
          <w:sz w:val="18"/>
        </w:rPr>
        <w:t>https://pubmed.ncbi.nlm.nih.gov/42837204/</w:t>
      </w:r>
    </w:p>
    <w:p>
      <w:pPr>
        <w:pStyle w:val="Heading2"/>
      </w:pPr>
      <w:r>
        <w:t>Standardisierte Erfolgsbeurteilung nach PCI identifiziert 12 % zusätzliche Hochrisiko-Läsionen</w:t>
      </w:r>
    </w:p>
    <w:p>
      <w:r>
        <w:rPr>
          <w:i/>
          <w:color w:val="666666"/>
          <w:sz w:val="18"/>
        </w:rPr>
        <w:t>Oshima A et al.  ·  EuroIntervention  ·  05.10.2026  ·  PMID 42837202</w:t>
      </w:r>
    </w:p>
    <w:p>
      <w:r>
        <w:t>Prospektive Analyse von 1.548 Patienten mit Dreigefäßerkrankung: Vergleich visueller Erfolgsbeurteilung durch Operateur versus standardisierte quantitative Koronarangiographie (QCA) und angio-FFR durch Core Lab.</w:t>
      </w:r>
    </w:p>
    <w:p>
      <w:r>
        <w:rPr>
          <w:b/>
        </w:rPr>
        <w:t xml:space="preserve">Ergebnis: </w:t>
      </w:r>
      <w:r>
        <w:t>Operator-bewerteter Device-Erfolg 97,4 %, aber Core-Lab-QCA nur 88,0 %, kombiniert QCA+angio-FFR 83,2 %. Läsionen ohne QCA-basierter Erfolgskriterien hatten höhere Lesion-Oriented-Composite-Endpoint-Rate nach 1 Jahr (12,0 % vs. 9,1 %, p=0,041). Standardisierte Kernlab-Bewertung reklassifiziert erheblichen Anteil visueller Erfolge und identifiziert Hochrisiko-Läsionen.</w:t>
      </w:r>
    </w:p>
    <w:p>
      <w:r>
        <w:rPr>
          <w:b/>
          <w:sz w:val="19"/>
        </w:rPr>
        <w:t xml:space="preserve">Übertragbarkeit: </w:t>
      </w:r>
      <w:r>
        <w:rPr>
          <w:sz w:val="19"/>
        </w:rPr>
        <w:t>Europäische Multizenterstudie mit standardisiertem Kernlab-Protokoll, hohe Übertragbarkeit auf deutsche Interventionszentren.</w:t>
      </w:r>
    </w:p>
    <w:p>
      <w:r>
        <w:rPr>
          <w:color w:val="5A7D3A"/>
          <w:sz w:val="18"/>
        </w:rPr>
        <w:t>https://pubmed.ncbi.nlm.nih.gov/42837202/</w:t>
      </w:r>
    </w:p>
    <w:p>
      <w:pPr>
        <w:pStyle w:val="Heading2"/>
      </w:pPr>
      <w:r>
        <w:t>Herzinsuffizienz-Patienten erreichen Intensivtraining-Ziele nicht; nur intensive Aktivität senkt NT-proBNP um 0,19 pg/ml pro Trainingsminute</w:t>
      </w:r>
    </w:p>
    <w:p>
      <w:r>
        <w:rPr>
          <w:i/>
          <w:color w:val="666666"/>
          <w:sz w:val="18"/>
        </w:rPr>
        <w:t>Leps C et al.  ·  ESC Heart Fail  ·  27.08.2026  ·  PMID 42836328</w:t>
      </w:r>
    </w:p>
    <w:p>
      <w:r>
        <w:t>Prospektive Beobachtungsstudie mit 156 Herzinsuffizienz-Patienten (NYHA I und II/III), die 12 Monate lang mit multisensorischem Activity Tracker kontinuierlich überwacht wurden, um Zusammenhänge zwischen Bewegungsumfang, Intensität und kardiovaskulären Outcomes zu klären.</w:t>
      </w:r>
    </w:p>
    <w:p>
      <w:r>
        <w:rPr>
          <w:b/>
        </w:rPr>
        <w:t xml:space="preserve">Ergebnis: </w:t>
      </w:r>
      <w:r>
        <w:t>Median wöchentliche moderate körperliche Aktivität (MPA) nur 225 Min. (NYHA I) bzw. 167 Min. (NYHA II/III); intensive Aktivität (VPA) nur 17 bzw. 9 Min./Woche. VPA positiv assoziiert mit maximaler Sauerstoffaufnahme (β=3,815, 95%-KI [1,43–10,19], p=0,008). MPA invers mit NT-proBNP assoziiert (β=−0,189, 95%-KI [−0,353–−0,025], p=0,024). Tägliche Schritte positiv mit VO₂max (β=0,545, p&lt;0,001), invers mit Fettmasse (β=−1,058, p&lt;0,001) und CRP (β=−0,057, p=0,005).</w:t>
      </w:r>
    </w:p>
    <w:p>
      <w:r>
        <w:rPr>
          <w:b/>
          <w:sz w:val="19"/>
        </w:rPr>
        <w:t xml:space="preserve">Übertragbarkeit: </w:t>
      </w:r>
      <w:r>
        <w:rPr>
          <w:sz w:val="19"/>
        </w:rPr>
        <w:t>Deutsche Multizenterstudie mit etablierten deutschen Rehabilitations-Zentren, direkt anwendbar auf deutsche Trainingsprogramme.</w:t>
      </w:r>
    </w:p>
    <w:p>
      <w:r>
        <w:rPr>
          <w:color w:val="5A7D3A"/>
          <w:sz w:val="18"/>
        </w:rPr>
        <w:t>https://pubmed.ncbi.nlm.nih.gov/42836328/</w:t>
      </w:r>
    </w:p>
    <w:p>
      <w:pPr>
        <w:pStyle w:val="Heading2"/>
      </w:pPr>
      <w:r>
        <w:t>Pflege-gesteuerte Titration von Herzinsuffizienz-Therapien: Implementierungs-Roadmap aus Italien</w:t>
      </w:r>
    </w:p>
    <w:p>
      <w:r>
        <w:rPr>
          <w:i/>
          <w:color w:val="666666"/>
          <w:sz w:val="18"/>
        </w:rPr>
        <w:t>Gori M et al.  ·  ESC Heart Fail  ·  27.08.2026  ·  PMID 42836327</w:t>
      </w:r>
    </w:p>
    <w:p>
      <w:r>
        <w:t>Narrative Analyse zur praktischen Umsetzung nurse-led Titration von Guideline-Directed Medical Therapy (GDMT) in Italien und anderen europäischen Ländern; Beschreibung von Voraussetzungen, medizin-rechtliche Aspekte und operationales Flussdiagramm für die Implementierung.</w:t>
      </w:r>
    </w:p>
    <w:p>
      <w:r>
        <w:rPr>
          <w:b/>
        </w:rPr>
        <w:t xml:space="preserve">Ergebnis: </w:t>
      </w:r>
      <w:r>
        <w:t>Hauptvoraussetzungen sind dedizierte Schulung und standardisierte Management-Protokolle. Detaillierte ärztliche Verordnungen notwendig, die für jeden Patienten Timing, Methode und resultierende Maßnahmen spezifizieren. Multi-professionelle Strategie mit Pflege-gesteuerte GDMT-Titration empfohlen als Weg zur Verbesserung der Leitlinien-Umsetzung in der Routinepraxis. In Italien und vielen europäischen Ländern noch nicht Standard.</w:t>
      </w:r>
    </w:p>
    <w:p>
      <w:r>
        <w:rPr>
          <w:b/>
          <w:sz w:val="19"/>
        </w:rPr>
        <w:t xml:space="preserve">Übertragbarkeit: </w:t>
      </w:r>
      <w:r>
        <w:rPr>
          <w:sz w:val="19"/>
        </w:rPr>
        <w:t>Italienische Konsensusarbeit mit europäischen Zentren, unmittelbare Relevanz für deutsche Versorgungsstrukturen und DMP.</w:t>
      </w:r>
    </w:p>
    <w:p>
      <w:r>
        <w:rPr>
          <w:color w:val="5A7D3A"/>
          <w:sz w:val="18"/>
        </w:rPr>
        <w:t>https://pubmed.ncbi.nlm.nih.gov/42836327/</w:t>
      </w:r>
    </w:p>
    <w:p>
      <w:pPr>
        <w:pStyle w:val="Heading1"/>
      </w:pPr>
      <w:r>
        <w:t>Aufgenommen am 06.10.2026</w:t>
      </w:r>
    </w:p>
    <w:p>
      <w:pPr>
        <w:pStyle w:val="Heading2"/>
      </w:pPr>
      <w:r>
        <w:t>Häufig übersehene Warnsymptome vor plötzlichem Herzstillstand bei Kindern</w:t>
      </w:r>
    </w:p>
    <w:p>
      <w:r>
        <w:rPr>
          <w:i/>
          <w:color w:val="666666"/>
          <w:sz w:val="18"/>
        </w:rPr>
        <w:t>Tollit J et al.  ·  Open Heart  ·  05.10.2026  ·  PMID 42833702</w:t>
      </w:r>
    </w:p>
    <w:p>
      <w:r>
        <w:t>Retrospektive Analyse von 58 Kindern mit überlebtem außerklinischem Herzstillstand ohne bekannte kardiale Vordiagnose in einem britischen Spezialistenzen­trum (1996–2025); Erfassung von Symptomen vor dem Ereignis.</w:t>
      </w:r>
    </w:p>
    <w:p>
      <w:r>
        <w:rPr>
          <w:b/>
        </w:rPr>
        <w:t xml:space="preserve">Ergebnis: </w:t>
      </w:r>
      <w:r>
        <w:t>50,9 % (28/58) hatten kardiale Warnsymptome vor dem Herzstillstand, davon 23,6 % (13/58) mit Synkopen; von diesen 13 Synkopen-Patienten suchten nur 3 ärztliche Hilfe auf. Nach Herzstillstand wurde bei 72,4 % (42/58) eine vererbte Herzerkrankung diagnostiziert, am häufigsten hypertrophe Kardiomyopathie (29,8 %). Potenzielle Chancen zur Früherkennung wurden überwiegend verpasst.</w:t>
      </w:r>
    </w:p>
    <w:p>
      <w:r>
        <w:rPr>
          <w:b/>
          <w:sz w:val="19"/>
        </w:rPr>
        <w:t xml:space="preserve">Übertragbarkeit: </w:t>
      </w:r>
      <w:r>
        <w:rPr>
          <w:sz w:val="19"/>
        </w:rPr>
        <w:t>UK-Spezialzentrum; Struktur der Primärversorgung und Triage in Deutschland vergleichbar.</w:t>
      </w:r>
    </w:p>
    <w:p>
      <w:r>
        <w:rPr>
          <w:color w:val="5A7D3A"/>
          <w:sz w:val="18"/>
        </w:rPr>
        <w:t>https://pubmed.ncbi.nlm.nih.gov/42833702/</w:t>
      </w:r>
    </w:p>
    <w:p>
      <w:pPr>
        <w:pStyle w:val="Heading2"/>
      </w:pPr>
      <w:r>
        <w:t>Entzündung ohne Ödem deutet auf Vernarbung bei tuberkulöser Perikarditis hin</w:t>
      </w:r>
    </w:p>
    <w:p>
      <w:r>
        <w:rPr>
          <w:i/>
          <w:color w:val="666666"/>
          <w:sz w:val="18"/>
        </w:rPr>
        <w:t>Giliomee LJ et al.  ·  Open Heart  ·  05.10.2026  ·  PMID 42833701</w:t>
      </w:r>
    </w:p>
    <w:p>
      <w:r>
        <w:t>Prospektive Kohortenstudie mit Baseline- und 6-Monats-Kardio-MRT bei tuberkulöser Perikarditis (Südafrika); Untersuchung, wie Entzündungsmarker und Ödem die Vorhersage einer Perikardverfestigung verbessern.</w:t>
      </w:r>
    </w:p>
    <w:p>
      <w:r>
        <w:rPr>
          <w:b/>
        </w:rPr>
        <w:t xml:space="preserve">Ergebnis: </w:t>
      </w:r>
      <w:r>
        <w:t>Von 633 ödematösen Segmenten zeigten 20,7 % Versteifung bei Follow-up, von 267 nicht-ödematösen Segmenten 51,7 % (p&lt;0,001). Höhere Baseline-Entzündungslast war unabhängig mit Versteifung assoziiert (OR 1,32 pro SD-Anstieg, 95%-KI 1,12–1,55; p=0,0011); Baseline-Ödem war protektiv (OR 0,29, 95%-KI 0,20–0,43; p&lt;0,001). Interpretation: Ödem spiegelt akute reversible, intensive Entzündung ohne Ödem eher fibroseanfällige Phänotypen wider.</w:t>
      </w:r>
    </w:p>
    <w:p>
      <w:r>
        <w:rPr>
          <w:b/>
          <w:sz w:val="19"/>
        </w:rPr>
        <w:t xml:space="preserve">Übertragbarkeit: </w:t>
      </w:r>
      <w:r>
        <w:rPr>
          <w:sz w:val="19"/>
        </w:rPr>
        <w:t>Südafrika-Spezialistenzen­trum; Mechanismus der Fibroseentwicklung grundlagenrelevant, Übertragbarkeit auf TB-Epidemiologie Europas begrenzt.</w:t>
      </w:r>
    </w:p>
    <w:p>
      <w:r>
        <w:rPr>
          <w:color w:val="5A7D3A"/>
          <w:sz w:val="18"/>
        </w:rPr>
        <w:t>https://pubmed.ncbi.nlm.nih.gov/42833701/</w:t>
      </w:r>
    </w:p>
    <w:p>
      <w:pPr>
        <w:pStyle w:val="Heading2"/>
      </w:pPr>
      <w:r>
        <w:t>Lebenserwartung kein Kriterium: Alter allein rechtfertigt Verzicht auf Aortenklappenersatz</w:t>
      </w:r>
    </w:p>
    <w:p>
      <w:r>
        <w:rPr>
          <w:i/>
          <w:color w:val="666666"/>
          <w:sz w:val="18"/>
        </w:rPr>
        <w:t>Demir OM et al.  ·  Open Heart  ·  05.10.2026  ·  PMID 42833700</w:t>
      </w:r>
    </w:p>
    <w:p>
      <w:r>
        <w:t>Konzeptionelle Analyse zur Fehlinterpretation der Lebenserwartung bei Entscheidungen über Aortenklappenintervention im höheren Alter; Darlegung, warum Alter kein valider Proxy für Futilität ist.</w:t>
      </w:r>
    </w:p>
    <w:p>
      <w:r>
        <w:rPr>
          <w:b/>
        </w:rPr>
        <w:t xml:space="preserve">Ergebnis: </w:t>
      </w:r>
      <w:r>
        <w:t>Life Expectancy bei Geburt ist Populationsmittelwert, nicht individuelle Obergrenze. Ein 90-Jähriger in England/Wales hat noch durchschnittlich 3,9 Jahre Lebenserwartung; ein durchschnittlicher 82-Jähriger wird älter als ein 72-Jähriger. Wer die Durchschnittserwartung übertroffen hat, gehört zu langlebigeren Stratum und könnte am meisten von dauerhafter Klappe profitieren. Futilität ist real (fortgeschrittene Herzschäden, Gebrechlichkeit, dominante Komorbiditäten), aber Alter ist ungenauer Proxy. Empfehlung: Altersbasierte Nihilismus ersetzen durch Stadium-, Schadensausmaß- und Komorbiditäts-adjustierte Prognose mit explizit dokumentiertem erwarteten Nutzen im Shared Decision-Making.</w:t>
      </w:r>
    </w:p>
    <w:p>
      <w:r>
        <w:rPr>
          <w:b/>
          <w:sz w:val="19"/>
        </w:rPr>
        <w:t xml:space="preserve">Übertragbarkeit: </w:t>
      </w:r>
      <w:r>
        <w:rPr>
          <w:sz w:val="19"/>
        </w:rPr>
        <w:t>Britischer Fachdiskurs; Konzept auf deutsche Klappen-DMP und TAVI-Indikation übertragbar.</w:t>
      </w:r>
    </w:p>
    <w:p>
      <w:r>
        <w:rPr>
          <w:color w:val="5A7D3A"/>
          <w:sz w:val="18"/>
        </w:rPr>
        <w:t>https://pubmed.ncbi.nlm.nih.gov/42833700/</w:t>
      </w:r>
    </w:p>
    <w:p>
      <w:pPr>
        <w:pStyle w:val="Heading2"/>
      </w:pPr>
      <w:r>
        <w:t>Vorhofflimmern nach Schlaganfall: Phänotypisierung für gezieltes Screening</w:t>
      </w:r>
    </w:p>
    <w:p>
      <w:r>
        <w:rPr>
          <w:i/>
          <w:color w:val="666666"/>
          <w:sz w:val="18"/>
        </w:rPr>
        <w:t>van Kempen EJ et al.  ·  Open Heart  ·  05.10.2026  ·  PMID 42833699</w:t>
      </w:r>
    </w:p>
    <w:p>
      <w:r>
        <w:t>Retrospektive Kohortenstudie von 1836 Schlaganfall-Patienten in den Niederlanden (Jan 2019–Okt 2024); Charakterisierung von Patienten mit neu detektiertem oder bekanntem Vorhofflimmern und zugehörigen Risikofaktoren.</w:t>
      </w:r>
    </w:p>
    <w:p>
      <w:r>
        <w:rPr>
          <w:b/>
        </w:rPr>
        <w:t xml:space="preserve">Ergebnis: </w:t>
      </w:r>
      <w:r>
        <w:t>Vorhofflimmern lag bei 30,5 % vor: 19,7 % bekannt, 10,8 % neu diagnostiziert. Ein Machine-Learning-Phänotyp (generative topographic mapping) mit älterem Alter, schwerer Schlaganfall, Schlaganfall-Vorgeschichte, Hypertonie, Diabetes, hoher kardialer Last (KHK, Herzklappenfehler, Herzinsuffizienz), reduzierter Nierenfunktion und Zeichen der Vorhofumgestaltung zeigte 47,9 % AF-Prävalenz. Schweregrad, kardiale Last und Vorhofumgestaltung waren stärkste Prädiktoren.</w:t>
      </w:r>
    </w:p>
    <w:p>
      <w:r>
        <w:rPr>
          <w:b/>
          <w:sz w:val="19"/>
        </w:rPr>
        <w:t xml:space="preserve">Übertragbarkeit: </w:t>
      </w:r>
      <w:r>
        <w:rPr>
          <w:sz w:val="19"/>
        </w:rPr>
        <w:t>Niederländische Universitätsklinik, vergleichbares Sozialversicherungssystem und Dokumentation.</w:t>
      </w:r>
    </w:p>
    <w:p>
      <w:r>
        <w:rPr>
          <w:color w:val="5A7D3A"/>
          <w:sz w:val="18"/>
        </w:rPr>
        <w:t>https://pubmed.ncbi.nlm.nih.gov/42833699/</w:t>
      </w:r>
    </w:p>
    <w:p>
      <w:pPr>
        <w:pStyle w:val="Heading2"/>
      </w:pPr>
      <w:r>
        <w:t>Sterblichkeitsmuster und Prädiktoren bei Herzinsuffizienz in Thailand</w:t>
      </w:r>
    </w:p>
    <w:p>
      <w:r>
        <w:rPr>
          <w:i/>
          <w:color w:val="666666"/>
          <w:sz w:val="18"/>
        </w:rPr>
        <w:t>Yingchoncharoen T et al.  ·  Open Heart  ·  05.10.2026  ·  PMID 42833698</w:t>
      </w:r>
    </w:p>
    <w:p>
      <w:r>
        <w:t>Prospektive Kohortenstudie von 2879 Herzinsuffizienz-Patienten aus dem Thai Heart Failure Registry (Jan 2021–Dez 2023); Erfassung von Todesursachen und Mortalitätsprädiktoren.</w:t>
      </w:r>
    </w:p>
    <w:p>
      <w:r>
        <w:rPr>
          <w:b/>
        </w:rPr>
        <w:t xml:space="preserve">Ergebnis: </w:t>
      </w:r>
      <w:r>
        <w:t>Über 23 Monate: 301 Todesfälle (10,5 %), Inzidenzrate 6,8/100 Personen-Jahre. Kardiovaskulär 49,5 % (149), nicht-kardiovaskulär 38,5 % (116), ungeklärt 12,0 % (36). Bei HFrEF/HFmrEF überwog kardiovaskuläre Mortalität (5,3 % vs. 3,9 %), bei HFpEF nicht-kardiovaskulär höher (5,5 % vs. 4,1 %, besonders Sepsis). Unabhängige Mortalitätsprädiktoren: ischämische Ätiologie (HR 1,34; 95%-KI 1,06–1,69), Vorhofflimmern (HR 1,57; 1,24–2,00), periphere Ödeme (HR 2,11; 1,57–2,85), Hyponatriämie (HR 1,83; 1,39–2,39), Hypokaliämie (HR 1,44; 1,06–1,95), erhöhtes Harnstoff-Stickstoff (HR 1,56; 1,23–1,98), Schleifen-Diuretika (HR 1,61; 1,21–2,14). Gute Therapieadhärenz assoziiert mit niedrigerer Mortalität.</w:t>
      </w:r>
    </w:p>
    <w:p>
      <w:r>
        <w:rPr>
          <w:b/>
          <w:sz w:val="19"/>
        </w:rPr>
        <w:t xml:space="preserve">Übertragbarkeit: </w:t>
      </w:r>
      <w:r>
        <w:rPr>
          <w:sz w:val="19"/>
        </w:rPr>
        <w:t>Thailand-Register mit breiter Abdeckung; Befunde zu Elektrolytstörungen und Diuretika-Nutzen international übertragbar.</w:t>
      </w:r>
    </w:p>
    <w:p>
      <w:r>
        <w:rPr>
          <w:color w:val="5A7D3A"/>
          <w:sz w:val="18"/>
        </w:rPr>
        <w:t>https://pubmed.ncbi.nlm.nih.gov/42833698/</w:t>
      </w:r>
    </w:p>
    <w:p>
      <w:pPr>
        <w:pStyle w:val="Heading1"/>
      </w:pPr>
      <w:r>
        <w:t>Aufgenommen am 05.10.2026</w:t>
      </w:r>
    </w:p>
    <w:p>
      <w:pPr>
        <w:pStyle w:val="Heading2"/>
      </w:pPr>
      <w:r>
        <w:t>Linksatrialer Verschluss bei Krebspatienten mit Vorhofflimmern: höhere Mortalität, gleiche Schlaganfall-/Blutungsrate</w:t>
      </w:r>
    </w:p>
    <w:p>
      <w:r>
        <w:rPr>
          <w:i/>
          <w:color w:val="666666"/>
          <w:sz w:val="18"/>
        </w:rPr>
        <w:t>Afonso LM et al.  ·  Am J Cardiol  ·  04.10.2026  ·  PMID 42830154</w:t>
      </w:r>
    </w:p>
    <w:p>
      <w:r>
        <w:t>Systematische Übersichtsarbeit und aktualisierte Metaanalyse: 9 Studien mit 209.325 Patienten, davon 39,3% Frauen, Alter 77 Jahre, zur Sicherheit und Wirksamkeit des linksatrialen Appendage Occlusion (LAAO) bei Krebspatienten mit Vorhofflimmern.</w:t>
      </w:r>
    </w:p>
    <w:p>
      <w:r>
        <w:rPr>
          <w:b/>
        </w:rPr>
        <w:t xml:space="preserve">Ergebnis: </w:t>
      </w:r>
      <w:r>
        <w:t>Krebs assoziiert mit höherer Langzeit-Gesamtmortalität (HR 1,64, 95%-KI 1,20–2,23; p=0,002). Kein signifikanter Unterschied bei Schlaganfall (HR 0,59, 95%-KI 0,30–1,15; p=0,12) oder Blutung (HR 1,02, 95%-KI 0,57–1,83; p=0,94). Kein Unterschied zwischen aktuellem und prior Krebs (p=0,146).</w:t>
      </w:r>
    </w:p>
    <w:p>
      <w:r>
        <w:rPr>
          <w:b/>
          <w:sz w:val="19"/>
        </w:rPr>
        <w:t xml:space="preserve">Übertragbarkeit: </w:t>
      </w:r>
      <w:r>
        <w:rPr>
          <w:sz w:val="19"/>
        </w:rPr>
        <w:t>Internationale Kohorten, Befund zur Mortalität systemunabhängig, Indikationsabwägung für deutsche Zentren relevant</w:t>
      </w:r>
    </w:p>
    <w:p>
      <w:r>
        <w:rPr>
          <w:color w:val="5A7D3A"/>
          <w:sz w:val="18"/>
        </w:rPr>
        <w:t>https://pubmed.ncbi.nlm.nih.gov/42830154/</w:t>
      </w:r>
    </w:p>
    <w:p>
      <w:pPr>
        <w:pStyle w:val="Heading2"/>
      </w:pPr>
      <w:r>
        <w:t>Osaka Prognostic Score sagt paroxysmals Vorhofflimmern voraus: OR 3,37</w:t>
      </w:r>
    </w:p>
    <w:p>
      <w:r>
        <w:rPr>
          <w:i/>
          <w:color w:val="666666"/>
          <w:sz w:val="18"/>
        </w:rPr>
        <w:t>Yıldırım E et al.  ·  Herz  ·  01.10.2026  ·  PMID 42823488</w:t>
      </w:r>
    </w:p>
    <w:p>
      <w:r>
        <w:t>Querschnittsstudie: 941 Personen (198 mit VF-Anamnese, 743 Kontrollen) wurden auf Zusammenhang zwischen Osaka Prognostic Score (OPS, basierend auf CRP, Lymphozytenzahl, Albumin) und paroxysmalem Vorhofflimmern untersucht.</w:t>
      </w:r>
    </w:p>
    <w:p>
      <w:r>
        <w:rPr>
          <w:b/>
        </w:rPr>
        <w:t xml:space="preserve">Ergebnis: </w:t>
      </w:r>
      <w:r>
        <w:t>Multivariable logistische Regression: OPS unabhängig mit VF assoziiert (OR 3,37; p&lt;0,001). ROC-Analyse: OPS &gt;0,5 mit VF-Präsenz verbunden (Sensitivität 55,6%, Spezifität 77,4%, AUC 0,682; p&lt;0,001). Einfacher klinischer Biomarker, der Zusatzinformation zur Risikostratifikation liefert.</w:t>
      </w:r>
    </w:p>
    <w:p>
      <w:r>
        <w:rPr>
          <w:b/>
          <w:sz w:val="19"/>
        </w:rPr>
        <w:t xml:space="preserve">Übertragbarkeit: </w:t>
      </w:r>
      <w:r>
        <w:rPr>
          <w:sz w:val="19"/>
        </w:rPr>
        <w:t>Türkei, prospektives Design zur Validierung erforderlich, Biomarker-Konzept international übertragbar</w:t>
      </w:r>
    </w:p>
    <w:p>
      <w:r>
        <w:rPr>
          <w:color w:val="5A7D3A"/>
          <w:sz w:val="18"/>
        </w:rPr>
        <w:t>https://pubmed.ncbi.nlm.nih.gov/42823488/</w:t>
      </w:r>
    </w:p>
    <w:p>
      <w:pPr>
        <w:pStyle w:val="Heading2"/>
      </w:pPr>
      <w:r>
        <w:t>Stereotaktische Bestrahlung für therapierefraktäre Kammertachykardie bei Chagas-Kardiomyopathie möglich</w:t>
      </w:r>
    </w:p>
    <w:p>
      <w:r>
        <w:rPr>
          <w:i/>
          <w:color w:val="666666"/>
          <w:sz w:val="18"/>
        </w:rPr>
        <w:t>Salvajoli B et al.  ·  JACC Clin Electrophysiol  ·  11.09.2026  ·  PMID 42820878</w:t>
      </w:r>
    </w:p>
    <w:p>
      <w:r>
        <w:t>Prospektive Phase-I/II-Pilotstudie: 11 Patienten mit Chagas-Kardiomyopathie und therapierefraktärer Kammertachykardie, bei denen interventionelle Ablation versagt oder nicht in Frage kam, erhielten einzelne 25-Gy-SBRT-Fraktion auf arrhythmisches Substrat.</w:t>
      </w:r>
    </w:p>
    <w:p>
      <w:r>
        <w:rPr>
          <w:b/>
        </w:rPr>
        <w:t xml:space="preserve">Ergebnis: </w:t>
      </w:r>
      <w:r>
        <w:t>Median Follow-up 160 Tage: VT-Rezidiv in 10 von 11 Patienten (Median bis Rezidiv 79 Tage nach 6-Wochen-Blanking-Phase). Vergleich 12 Monate nach vs. 6 Monate vor SBRT: signifikante Reduktion VT-Episoden (p=0,040), Antitachykardie-Pacing (p=0,012) und kombinierte Therapien (p=0,022). 12-Monats-Gesamtüberleben 45,5%. Keine schwerwiegenden therapiebedingten Nebenwirkungen.</w:t>
      </w:r>
    </w:p>
    <w:p>
      <w:r>
        <w:rPr>
          <w:b/>
          <w:sz w:val="19"/>
        </w:rPr>
        <w:t xml:space="preserve">Übertragbarkeit: </w:t>
      </w:r>
      <w:r>
        <w:rPr>
          <w:sz w:val="19"/>
        </w:rPr>
        <w:t>Brasilien, neue Technik, aber Machbarkeit und Sicherheit wegweisend für seltene, therapierefraktäre Indikation</w:t>
      </w:r>
    </w:p>
    <w:p>
      <w:r>
        <w:rPr>
          <w:color w:val="5A7D3A"/>
          <w:sz w:val="18"/>
        </w:rPr>
        <w:t>https://pubmed.ncbi.nlm.nih.gov/42820878/</w:t>
      </w:r>
    </w:p>
    <w:p>
      <w:pPr>
        <w:pStyle w:val="Heading2"/>
      </w:pPr>
      <w:r>
        <w:t>Transkatheter-PDA-Verschluss am Bett Neugeborener sicherer und kürzer als im Labor</w:t>
      </w:r>
    </w:p>
    <w:p>
      <w:r>
        <w:rPr>
          <w:i/>
          <w:color w:val="666666"/>
          <w:sz w:val="18"/>
        </w:rPr>
        <w:t>Sathanandam S et al.  ·  JACC Cardiovasc Interv  ·  28.09.2026  ·  PMID 42805720</w:t>
      </w:r>
    </w:p>
    <w:p>
      <w:r>
        <w:t>Retrospektive Analyse der Transition eines interventionellen Verfahrens vom Katheterisierungslabor auf die neonatale Intensivstation: 500 extrem frühgeborene Kinder (&lt;28 Wochen, &lt;2 kg) mit hämodynamisch signifikantem Ductus arteriosus, davon 176 am Bett behandelt.</w:t>
      </w:r>
    </w:p>
    <w:p>
      <w:r>
        <w:rPr>
          <w:b/>
        </w:rPr>
        <w:t xml:space="preserve">Ergebnis: </w:t>
      </w:r>
      <w:r>
        <w:t>Bettseitige Verfahren waren kürzer (18 Min. vs. 32 Min., p&lt;0,001), mit weniger Strahlenbelastung (0,019 vs. 0,068 Gy×cm²; p&lt;0,001). Prozedurales Erfolg: 100% in allen Settings. Komplikationsrate 1,7% ähnlich in allen Gruppen. Überlebensrate nach Median 6,8 Jahren: 89%, keine Rezidiv-PDAs, minimale Spätkomplikationen.</w:t>
      </w:r>
    </w:p>
    <w:p>
      <w:r>
        <w:rPr>
          <w:b/>
          <w:sz w:val="19"/>
        </w:rPr>
        <w:t xml:space="preserve">Übertragbarkeit: </w:t>
      </w:r>
      <w:r>
        <w:rPr>
          <w:sz w:val="19"/>
        </w:rPr>
        <w:t>USA-Zentren, aber Verfahrenssicherheit und Outcome-Daten unabhängig von Gesundheitssystem übertragbar</w:t>
      </w:r>
    </w:p>
    <w:p>
      <w:r>
        <w:rPr>
          <w:color w:val="5A7D3A"/>
          <w:sz w:val="18"/>
        </w:rPr>
        <w:t>https://pubmed.ncbi.nlm.nih.gov/42805720/</w:t>
      </w:r>
    </w:p>
    <w:p>
      <w:pPr>
        <w:pStyle w:val="Heading2"/>
      </w:pPr>
      <w:r>
        <w:t>HFpEF und HFmrEF: Klinische Trends in Patientendaten-Metaanalyse stabilisiert sich</w:t>
      </w:r>
    </w:p>
    <w:p>
      <w:r>
        <w:rPr>
          <w:i/>
          <w:color w:val="666666"/>
          <w:sz w:val="18"/>
        </w:rPr>
        <w:t>Gori M et al.  ·  Eur Heart J  ·  26.09.2026  ·  PMID 42799541</w:t>
      </w:r>
    </w:p>
    <w:p>
      <w:r>
        <w:t>Individuelle Patientendaten-Metaanalyse von Herzinsuffizienz-Studien mit erhaltener und mittlerer Auswurffraktion: Analyse von zeitlichen Trends und Outcomes über mehrere Jahrzehnte in randomisierten Kontrolltrialen.</w:t>
      </w:r>
    </w:p>
    <w:p>
      <w:r>
        <w:rPr>
          <w:b/>
        </w:rPr>
        <w:t xml:space="preserve">Ergebnis: </w:t>
      </w:r>
      <w:r>
        <w:t>Gori et al. zeigen, dass sich die klinischen Charakteristiken und Outcomevariablen von HFpEF und HFmrEF über Zeit stabilisieren; präzise Quantifizierung der Baseline-Merkmale und Endpunkte im Abstract nicht genannt. Befund unterstreicht, dass diese Phänotypen konstante Prognostik aufweisen.</w:t>
      </w:r>
    </w:p>
    <w:p>
      <w:r>
        <w:rPr>
          <w:b/>
          <w:sz w:val="19"/>
        </w:rPr>
        <w:t xml:space="preserve">Übertragbarkeit: </w:t>
      </w:r>
      <w:r>
        <w:rPr>
          <w:sz w:val="19"/>
        </w:rPr>
        <w:t>Europäische und nordamerikanische Studienpopulationen, übertragbar auf strukturierte Versorgung</w:t>
      </w:r>
    </w:p>
    <w:p>
      <w:r>
        <w:rPr>
          <w:color w:val="5A7D3A"/>
          <w:sz w:val="18"/>
        </w:rPr>
        <w:t>https://pubmed.ncbi.nlm.nih.gov/42799541/</w:t>
      </w:r>
    </w:p>
    <w:p>
      <w:pPr>
        <w:pStyle w:val="Heading2"/>
      </w:pPr>
      <w:r>
        <w:t>Klonale Hämatopoese DNMT3A verursacht endotheliale Aktivierung und Herzinsuffizienz via Semaphorin 4A</w:t>
      </w:r>
    </w:p>
    <w:p>
      <w:r>
        <w:rPr>
          <w:i/>
          <w:color w:val="666666"/>
          <w:sz w:val="18"/>
        </w:rPr>
        <w:t>Shumliakivska M et al.  ·  Cardiovasc Res  ·  05.09.2026  ·  PMID 42698267</w:t>
      </w:r>
    </w:p>
    <w:p>
      <w:r>
        <w:t>Experimentelle Arbeit: DNMT3A-getriebene klonale Hämatopoese wurde in Herzinsuffizienz-Modellen untersucht; Mechanismus über Semaphorin-4A-abhängige endotheliale Aktivierung identifiziert durch genetische und pharmakologische Intervention.</w:t>
      </w:r>
    </w:p>
    <w:p>
      <w:r>
        <w:rPr>
          <w:b/>
        </w:rPr>
        <w:t xml:space="preserve">Ergebnis: </w:t>
      </w:r>
      <w:r>
        <w:t>DNMT3A-Mutation in Blutvorläuferzellen triggert klonale Expansion, die über zirkulierende Signalmoleküle (Semaphorin 4A) endotheliale Dysfunktion und Herzinsuffizienz-Phänotyp induziert. Genetische und pharmazeutische Blockade des Mechanismus reduziert HF-Progression in vivo.</w:t>
      </w:r>
    </w:p>
    <w:p>
      <w:r>
        <w:rPr>
          <w:b/>
          <w:sz w:val="19"/>
        </w:rPr>
        <w:t xml:space="preserve">Übertragbarkeit: </w:t>
      </w:r>
      <w:r>
        <w:rPr>
          <w:sz w:val="19"/>
        </w:rPr>
        <w:t>Deutschland (Frankfurt, Heidelberg), funktioneller Mechanismus mit therapeutischem Ansatz für tiefere Grundlagenforschung</w:t>
      </w:r>
    </w:p>
    <w:p>
      <w:r>
        <w:rPr>
          <w:color w:val="5A7D3A"/>
          <w:sz w:val="18"/>
        </w:rPr>
        <w:t>https://pubmed.ncbi.nlm.nih.gov/42698267/</w:t>
      </w:r>
    </w:p>
    <w:p>
      <w:pPr>
        <w:pStyle w:val="Heading1"/>
      </w:pPr>
      <w:r>
        <w:t>Aufgenommen am 04.10.2026</w:t>
      </w:r>
    </w:p>
    <w:p>
      <w:pPr>
        <w:pStyle w:val="Heading2"/>
      </w:pPr>
      <w:r>
        <w:t>Schlaganfall und neurologische Komplikationen unter magnetisch levitiertem LVAD erhöhen Mortalität deutlich</w:t>
      </w:r>
    </w:p>
    <w:p>
      <w:r>
        <w:rPr>
          <w:i/>
          <w:color w:val="666666"/>
          <w:sz w:val="18"/>
        </w:rPr>
        <w:t>Saeed O et al.  ·  JACC Heart Fail  ·  01.10.2026  ·  PMID 42825733</w:t>
      </w:r>
    </w:p>
    <w:p>
      <w:r>
        <w:t>Retrospektive Analyse von 11.739 Patienten mit fortgeschrittener Herzinsuffizienz unter mechanischer Kreislaufunterstützung (Mag-Lev LVAD) aus einer US-Datenbank (2017–2023) zur Häufigkeit und prognostischen Folgen neurologischer Ereignisse.</w:t>
      </w:r>
    </w:p>
    <w:p>
      <w:r>
        <w:rPr>
          <w:b/>
        </w:rPr>
        <w:t xml:space="preserve">Ergebnis: </w:t>
      </w:r>
      <w:r>
        <w:t>Schlaganfälle traten bei 8 % auf, nicht-apoplektische neurologische Ereignisse bei 8 %; 84 % blieben ereignisfrei. Nach zwei Jahren betrug die Überlebensrate nach Schlaganfall 45 %, nach anderen neurologischen Ereignissen 56 % (p &lt; 0,001). Schlaganfall erhöhte das Todesrisiko um das 7,3-Fache (HR 7,3), andere neurologische Ereignisse um das 5,1-Fache (HR 5,1) gegenüber keinem Ereignis. Prä-LVAD-ECMO und begleitende Eingriffe waren mit mehr neurologischen Komplikationen assoziiert.</w:t>
      </w:r>
    </w:p>
    <w:p>
      <w:r>
        <w:rPr>
          <w:b/>
          <w:sz w:val="19"/>
        </w:rPr>
        <w:t xml:space="preserve">Übertragbarkeit: </w:t>
      </w:r>
      <w:r>
        <w:rPr>
          <w:sz w:val="19"/>
        </w:rPr>
        <w:t>STS-INTERMACS-Registry (USA), begrenzte Übertragbarkeit auf deutsche Zentren wegen unterschiedlicher Patientenselektion</w:t>
      </w:r>
    </w:p>
    <w:p>
      <w:r>
        <w:rPr>
          <w:color w:val="5A7D3A"/>
          <w:sz w:val="18"/>
        </w:rPr>
        <w:t>https://pubmed.ncbi.nlm.nih.gov/42825733/</w:t>
      </w:r>
    </w:p>
    <w:p>
      <w:pPr>
        <w:pStyle w:val="Heading2"/>
      </w:pPr>
      <w:r>
        <w:t>Periprozeduraler Herzinfarkt nach PCI: diffuse Koronarmorphologie erhöht Risiko gegenüber fokaler Stenose</w:t>
      </w:r>
    </w:p>
    <w:p>
      <w:r>
        <w:rPr>
          <w:i/>
          <w:color w:val="666666"/>
          <w:sz w:val="18"/>
        </w:rPr>
        <w:t>Zhang H et al.  ·  Am Heart J  ·  29.09.2026  ·  PMID 42810565</w:t>
      </w:r>
    </w:p>
    <w:p>
      <w:r>
        <w:t>Vergleichende Analyse von 855 Patienten, die sich einer perkutanen Koronarintervention unterzogen, hinsichtlich des Auftretens und der Folgen eines periprozeduralen Myokardinfarkts (PMI) in Abhängigkeit von der Morphologie der behandelten Gefäße (fokal vs. diffus).</w:t>
      </w:r>
    </w:p>
    <w:p>
      <w:r>
        <w:rPr>
          <w:b/>
        </w:rPr>
        <w:t xml:space="preserve">Ergebnis: </w:t>
      </w:r>
      <w:r>
        <w:t>PMI nach Fourth Universal Definition trat bei diffuser Morphologie signifikant häufiger auf als bei fokaler (9,8 % vs. 5,9 %; p = 0,048). Troponinerhöhung ≥70 × URL war häufiger bei diffuser Morphologie (8,5 % vs. 4,8 %; p = 0,041). PMI mit angiographischen Komplikationen trat nur bei diffuser Morphologie auf (2,0 % vs. 0,2 %; p = 0,015). Ein-Jahres-Target-Vessel-Failure korrelierte nur mit PMI-Phänotypen, die angiographische Komplikationen einschlossen.</w:t>
      </w:r>
    </w:p>
    <w:p>
      <w:r>
        <w:rPr>
          <w:b/>
          <w:sz w:val="19"/>
        </w:rPr>
        <w:t xml:space="preserve">Übertragbarkeit: </w:t>
      </w:r>
      <w:r>
        <w:rPr>
          <w:sz w:val="19"/>
        </w:rPr>
        <w:t>Multinationale Kohortenstudie (Europa, USA, Japan), Methodik übertragbar auf deutsche Zentren</w:t>
      </w:r>
    </w:p>
    <w:p>
      <w:r>
        <w:rPr>
          <w:color w:val="5A7D3A"/>
          <w:sz w:val="18"/>
        </w:rPr>
        <w:t>https://pubmed.ncbi.nlm.nih.gov/42810565/</w:t>
      </w:r>
    </w:p>
    <w:p>
      <w:pPr>
        <w:pStyle w:val="Heading2"/>
      </w:pPr>
      <w:r>
        <w:t>Trainingsbelastung löst bei Ausdauerathleten mit Vorhofflimmern keine erhöhten Arrhythmie-Raten aus</w:t>
      </w:r>
    </w:p>
    <w:p>
      <w:r>
        <w:rPr>
          <w:i/>
          <w:color w:val="666666"/>
          <w:sz w:val="18"/>
        </w:rPr>
        <w:t>Apelland T et al.  ·  J Am Heart Assoc  ·  29.09.2026  ·  PMID 42808447</w:t>
      </w:r>
    </w:p>
    <w:p>
      <w:r>
        <w:t>Prospektive Studie mit implantierbaren Kardiovertern bei 47 Ausdauerathleten mit paroxysmalen Vorhofflimmern über insgesamt 55.994 Monitoreingsstunden zur zeitlichen Assoziation zwischen Trainingsbelastung und Arrhythmie-Episoden.</w:t>
      </w:r>
    </w:p>
    <w:p>
      <w:r>
        <w:rPr>
          <w:b/>
        </w:rPr>
        <w:t xml:space="preserve">Ergebnis: </w:t>
      </w:r>
      <w:r>
        <w:t>31 Athleten (66 %) hatten 1.445 Vorhofflimmern-Episoden; 13 (27 %) erlebten VF während Trainingsbelastung, davon nur zwei während hochintensiver Trainingseinheiten. VF-Rate während Trainingsbelastung betrug 0,34 pro 24 h (95 % KI 0,13–0,65) und danach 0,37 (95 % KI 0,10–0,71), nicht erhöht gegenüber unabhängig vom Training (0,61; 95 % KI 0,26–1,13). Keine belastungsassoziierten Kammertachykardien.</w:t>
      </w:r>
    </w:p>
    <w:p>
      <w:r>
        <w:rPr>
          <w:b/>
          <w:sz w:val="19"/>
        </w:rPr>
        <w:t xml:space="preserve">Übertragbarkeit: </w:t>
      </w:r>
      <w:r>
        <w:rPr>
          <w:sz w:val="19"/>
        </w:rPr>
        <w:t>Multinationale europäische und australische Kohorten, vergleichbare Sportmedizin-Standards</w:t>
      </w:r>
    </w:p>
    <w:p>
      <w:r>
        <w:rPr>
          <w:color w:val="5A7D3A"/>
          <w:sz w:val="18"/>
        </w:rPr>
        <w:t>https://pubmed.ncbi.nlm.nih.gov/42808447/</w:t>
      </w:r>
    </w:p>
    <w:p>
      <w:pPr>
        <w:pStyle w:val="Heading2"/>
      </w:pPr>
      <w:r>
        <w:t>SMOC-1-Protein schützt nach Herzinfarkt vor Herzruptur durch Fibroblasten-Aktivierung</w:t>
      </w:r>
    </w:p>
    <w:p>
      <w:r>
        <w:rPr>
          <w:i/>
          <w:color w:val="666666"/>
          <w:sz w:val="18"/>
        </w:rPr>
        <w:t>Gong W et al.  ·  Circulation  ·  29.09.2026  ·  PMID 42808155</w:t>
      </w:r>
    </w:p>
    <w:p>
      <w:r>
        <w:t>Proteomik-Analyse von Patienten und Tiermodellen zur Identifikation von Proteinen, die mit Herzruptur nach akutem Myokardinfarkt assoziiert sind, mit funktionalen Studien zum Mechanismus.</w:t>
      </w:r>
    </w:p>
    <w:p>
      <w:r>
        <w:rPr>
          <w:b/>
        </w:rPr>
        <w:t xml:space="preserve">Ergebnis: </w:t>
      </w:r>
      <w:r>
        <w:t>SMOC-1 (Secreted Modular Calcium-Binding Protein 1) war das signifikanteste hochregulierte Protein bei Herzruptur. Genetische SMOC-1-Knockout verdoppelte die Ruptur-Inzidenz und reduzierte Überlebensrate in Mausmodellen; SMOC-1-Überexpression senkte die Rupturrate signifikant. SMOC-1 bindet TGF-βR1 auf Fibroblasten und aktiviert die Smad-Signalisierung zur Kollagensynthese und Narbenmaturität. Der Effekt war durch EPRS-Inhibition aufhebbar.</w:t>
      </w:r>
    </w:p>
    <w:p>
      <w:r>
        <w:rPr>
          <w:b/>
          <w:sz w:val="19"/>
        </w:rPr>
        <w:t xml:space="preserve">Übertragbarkeit: </w:t>
      </w:r>
      <w:r>
        <w:rPr>
          <w:sz w:val="19"/>
        </w:rPr>
        <w:t>Grundlagenarbeit mit erkennbarem klinischen Weg zur Prävention von Herzruptur</w:t>
      </w:r>
    </w:p>
    <w:p>
      <w:r>
        <w:rPr>
          <w:color w:val="5A7D3A"/>
          <w:sz w:val="18"/>
        </w:rPr>
        <w:t>https://pubmed.ncbi.nlm.nih.gov/42808155/</w:t>
      </w:r>
    </w:p>
    <w:p>
      <w:pPr>
        <w:pStyle w:val="Heading2"/>
      </w:pPr>
      <w:r>
        <w:t>Perikarditis: Von symptomatischer Therapie zu zielgerichteter Interleukin-1-Inhibition</w:t>
      </w:r>
    </w:p>
    <w:p>
      <w:r>
        <w:rPr>
          <w:i/>
          <w:color w:val="666666"/>
          <w:sz w:val="18"/>
        </w:rPr>
        <w:t>Al-Dalakta A et al.  ·  Circulation  ·  29.09.2026  ·  PMID 42804572</w:t>
      </w:r>
    </w:p>
    <w:p>
      <w:r>
        <w:t>Narrative Review der historischen Entwicklung von Diagnostik und Therapie der Perikarditis vom antiken Griechenland bis 2026 mit Schwerpunkt auf neuere mechanismusbasierte Ansätze.</w:t>
      </w:r>
    </w:p>
    <w:p>
      <w:r>
        <w:rPr>
          <w:b/>
        </w:rPr>
        <w:t xml:space="preserve">Ergebnis: </w:t>
      </w:r>
      <w:r>
        <w:t>Klassische Therapie mit NSAIDs und Kortikosteroiden hatte hohe Rezidivquoten. Kolchizin (randomisierte Studien) wurde Standard für akute und rezidivierende Perikarditis. Neue Paradigma: IL-1-Inhibitoren (Anakinra, Rilonacept) für refraktäre Fälle basierend auf Erkennung autoinflammatorischer Mechanismen. Echokardiographie ermöglichte sichere Perikardiocentese; kardiale MRT verbesserte Risikostratifikation. Evidenz-gestützte, personalisierte Therapie ersetzt empirische Behandlung.</w:t>
      </w:r>
    </w:p>
    <w:p>
      <w:r>
        <w:rPr>
          <w:b/>
          <w:sz w:val="19"/>
        </w:rPr>
        <w:t xml:space="preserve">Übertragbarkeit: </w:t>
      </w:r>
      <w:r>
        <w:rPr>
          <w:sz w:val="19"/>
        </w:rPr>
        <w:t>Europäische und internationale Literaturgrundlage, Therapien in Deutschland verfügbar und leitlinienkonform</w:t>
      </w:r>
    </w:p>
    <w:p>
      <w:r>
        <w:rPr>
          <w:color w:val="5A7D3A"/>
          <w:sz w:val="18"/>
        </w:rPr>
        <w:t>https://pubmed.ncbi.nlm.nih.gov/42804572/</w:t>
      </w:r>
    </w:p>
    <w:p>
      <w:pPr>
        <w:pStyle w:val="Heading2"/>
      </w:pPr>
      <w:r>
        <w:t>Frauen mit Vorhofflimmern haben persistent höheres Herzinsuffizienz-Risiko trotz verbesserter Therapie</w:t>
      </w:r>
    </w:p>
    <w:p>
      <w:r>
        <w:rPr>
          <w:i/>
          <w:color w:val="666666"/>
          <w:sz w:val="18"/>
        </w:rPr>
        <w:t>Huang JY et al.  ·  JACC Clin Electrophysiol  ·  18.09.2026  ·  PMID 42788936</w:t>
      </w:r>
    </w:p>
    <w:p>
      <w:r>
        <w:t>Territory-wide Bevölkerungs-Registry in Hongkong mit 130.132 neu diagnostizierten AF-Patienten (1997–2021) zur Analyse geschlechtsspezifischer Trends bei Herzinsuffizienz-Entwicklung mit Competing-risk-Analyse.</w:t>
      </w:r>
    </w:p>
    <w:p>
      <w:r>
        <w:rPr>
          <w:b/>
        </w:rPr>
        <w:t xml:space="preserve">Ergebnis: </w:t>
      </w:r>
      <w:r>
        <w:t>Jährliche Herzinsuffizienz-Inzidenz (pro 1000 Personenjahre) sank bei Frauen von 69,6 (1997) auf 16,7 (2021) und bei Männern von 44,5 auf 13,7. Frauen behielten eine höhere Inzidenz (25,3 vs. 19,3) und erhöhtes Risiko bei (incidence rate ratio 1,34; 95 % KI 1,31–1,37). Frauen waren älter bei AF-Diagnose, hatten höhere CHA₂DS₂-VASc-Scores und erhielten häufiger reduzierte DOAK-Dosen.</w:t>
      </w:r>
    </w:p>
    <w:p>
      <w:r>
        <w:rPr>
          <w:b/>
          <w:sz w:val="19"/>
        </w:rPr>
        <w:t xml:space="preserve">Übertragbarkeit: </w:t>
      </w:r>
      <w:r>
        <w:rPr>
          <w:sz w:val="19"/>
        </w:rPr>
        <w:t>Hongkong (Versicherungssystem nicht identisch), zeitliche Trends relevant für Versorgungsplanung</w:t>
      </w:r>
    </w:p>
    <w:p>
      <w:r>
        <w:rPr>
          <w:color w:val="5A7D3A"/>
          <w:sz w:val="18"/>
        </w:rPr>
        <w:t>https://pubmed.ncbi.nlm.nih.gov/42788936/</w:t>
      </w:r>
    </w:p>
    <w:p>
      <w:pPr>
        <w:pStyle w:val="Heading1"/>
      </w:pPr>
      <w:r>
        <w:t>Aufgenommen am 03.10.2026</w:t>
      </w:r>
    </w:p>
    <w:p>
      <w:pPr>
        <w:pStyle w:val="Heading2"/>
      </w:pPr>
      <w:r>
        <w:t>Trainee-geführte Herzklappenchirurgie sicher: UK-Registerdaten zeigen keine erhöhte Mortalität</w:t>
      </w:r>
    </w:p>
    <w:p>
      <w:r>
        <w:rPr>
          <w:i/>
          <w:color w:val="666666"/>
          <w:sz w:val="18"/>
        </w:rPr>
        <w:t>Chan J et al.  ·  Open Heart  ·  01.10.2026  ·  PMID 42823084</w:t>
      </w:r>
    </w:p>
    <w:p>
      <w:r>
        <w:t>Nationale britische Kohortenstudie zur Sicherheit von Trainee-geführten Aortenklappen- und Mitralklappenoperationen 1996–2019.</w:t>
      </w:r>
    </w:p>
    <w:p>
      <w:r>
        <w:rPr>
          <w:b/>
        </w:rPr>
        <w:t xml:space="preserve">Ergebnis: </w:t>
      </w:r>
      <w:r>
        <w:t>Von 96.907 isolierten Klappenoperationen wurden 18,7% (AVR) und 9,8% (Mitralklappe) von Trainees durchgeführt. Nach Propensity Matching zeigten trainee-geführte Prozeduren keine höhere in-hospital-Mortalität oder frühe Morbidität. Deutliche Variation in Trainingsgelegenheiten zwischen Kliniken und Chirurgen (44,8–59,6%).</w:t>
      </w:r>
    </w:p>
    <w:p>
      <w:r>
        <w:rPr>
          <w:b/>
          <w:sz w:val="19"/>
        </w:rPr>
        <w:t xml:space="preserve">Übertragbarkeit: </w:t>
      </w:r>
      <w:r>
        <w:rPr>
          <w:sz w:val="19"/>
        </w:rPr>
        <w:t>UK-Gesundheitssystem, nationale Qualitätsdatenbank, strukturiertes Trainingsumfeld übertragbar</w:t>
      </w:r>
    </w:p>
    <w:p>
      <w:r>
        <w:rPr>
          <w:color w:val="5A7D3A"/>
          <w:sz w:val="18"/>
        </w:rPr>
        <w:t>https://pubmed.ncbi.nlm.nih.gov/42823084/</w:t>
      </w:r>
    </w:p>
    <w:p>
      <w:pPr>
        <w:pStyle w:val="Heading2"/>
      </w:pPr>
      <w:r>
        <w:t>EXPORT-Studie geplant: Nicht-Lungenvenen-Ablation bei persistentem Vorhofflimmern getestet</w:t>
      </w:r>
    </w:p>
    <w:p>
      <w:r>
        <w:rPr>
          <w:i/>
          <w:color w:val="666666"/>
          <w:sz w:val="18"/>
        </w:rPr>
        <w:t>Kim D et al.  ·  Am Heart J  ·  01.10.2026  ·  PMID 42822815</w:t>
      </w:r>
    </w:p>
    <w:p>
      <w:r>
        <w:t>Rationale und Design einer prospektiven, randomisierten, verblindeten Multizenterstudie zur Nicht-Lungenvenen-Triggerabilation zusätzlich zur Lungenvenenarrhythmielisolation bei persistentem Vorhofflimmern.</w:t>
      </w:r>
    </w:p>
    <w:p>
      <w:r>
        <w:rPr>
          <w:b/>
        </w:rPr>
        <w:t xml:space="preserve">Ergebnis: </w:t>
      </w:r>
      <w:r>
        <w:t>EXPORT ist Multicenter-Überlegenheitsstudie (n=430, 215 pro Gruppe) mit primärem Endpunkt Freiheit von dokumentierten Vorhofrhythmien ≥30 Sekunden nach 3-Monats-Blanking-Phase. Sekundärendpunkte: Freiheit ohne Antiarrhythmika, periprozeduale Komplikationen, Gesamtprozedurdauer. Klinische Relevanz: hohe Rezidivrate bei PV-Isolation allein bei persistentem VF.</w:t>
      </w:r>
    </w:p>
    <w:p>
      <w:r>
        <w:rPr>
          <w:b/>
          <w:sz w:val="19"/>
        </w:rPr>
        <w:t xml:space="preserve">Übertragbarkeit: </w:t>
      </w:r>
      <w:r>
        <w:rPr>
          <w:sz w:val="19"/>
        </w:rPr>
        <w:t>Südkorea, prospektives RCT-Design, Ablationstechnik weltweit etabliert</w:t>
      </w:r>
    </w:p>
    <w:p>
      <w:r>
        <w:rPr>
          <w:color w:val="5A7D3A"/>
          <w:sz w:val="18"/>
        </w:rPr>
        <w:t>https://pubmed.ncbi.nlm.nih.gov/42822815/</w:t>
      </w:r>
    </w:p>
    <w:p>
      <w:pPr>
        <w:pStyle w:val="Heading2"/>
      </w:pPr>
      <w:r>
        <w:t>Sotagliflozin rentabel bei Herzinsuffizienz: $75.510 pro Lebensjahr in Qualität</w:t>
      </w:r>
    </w:p>
    <w:p>
      <w:r>
        <w:rPr>
          <w:i/>
          <w:color w:val="666666"/>
          <w:sz w:val="18"/>
        </w:rPr>
        <w:t>Zhang Z et al.  ·  Am J Cardiol  ·  30.09.2026  ·  PMID 42815751</w:t>
      </w:r>
    </w:p>
    <w:p>
      <w:r>
        <w:t>Kosten-Nutzen-Analyse der SOLOIST-WHF-Studie mit Markov-Mikrosimulation über Lebenszeit für Sotagliflozin bei Herzinsuffizienz mit erhaltener und reduzierter Ejektionsfraktion.</w:t>
      </w:r>
    </w:p>
    <w:p>
      <w:r>
        <w:rPr>
          <w:b/>
        </w:rPr>
        <w:t xml:space="preserve">Ergebnis: </w:t>
      </w:r>
      <w:r>
        <w:t>Sotagliflozin erhöhte qualitätskorrigierte Lebensjahre (QALY) um 0,39 (4,43 vs. 4,04) und Lebenserwartung um 0,64 Jahre (7,12 vs. 6,48 Jahre) mit inkrementellem Kostenaufwand von $29.449 (95% UI: $26.610–$32.528), ICER $75.510/QALY (UI: $55.640–$98.300). Bei HFpEF ICER $71.135/QALY, bei HFrEF $87.635/QALY.</w:t>
      </w:r>
    </w:p>
    <w:p>
      <w:r>
        <w:rPr>
          <w:b/>
          <w:sz w:val="19"/>
        </w:rPr>
        <w:t xml:space="preserve">Übertragbarkeit: </w:t>
      </w:r>
      <w:r>
        <w:rPr>
          <w:sz w:val="19"/>
        </w:rPr>
        <w:t>US-Healthcare-Payer-Perspektive; Medikamentenkosten möglicherweise anderswertig; Effizienzaussage schwerpunktunabhängig</w:t>
      </w:r>
    </w:p>
    <w:p>
      <w:r>
        <w:rPr>
          <w:color w:val="5A7D3A"/>
          <w:sz w:val="18"/>
        </w:rPr>
        <w:t>https://pubmed.ncbi.nlm.nih.gov/42815751/</w:t>
      </w:r>
    </w:p>
    <w:p>
      <w:pPr>
        <w:pStyle w:val="Heading2"/>
      </w:pPr>
      <w:r>
        <w:t>Vorhofflimmern-Hospitalisierungen sinken: Israel-Bevölkerungsstudie zeigt Trend 2008–2022</w:t>
      </w:r>
    </w:p>
    <w:p>
      <w:r>
        <w:rPr>
          <w:i/>
          <w:color w:val="666666"/>
          <w:sz w:val="18"/>
        </w:rPr>
        <w:t>Moshkovits Y et al.  ·  Int J Cardiol  ·  30.09.2026  ·  PMID 42815583</w:t>
      </w:r>
    </w:p>
    <w:p>
      <w:r>
        <w:t>Bevölkerungsbasierte Studie von 12.141 Patienten mit neu diagnostiziertem Vorhofflimmern zu Ein-Jahres-Ergebnissen nach Klinikaufnahme.</w:t>
      </w:r>
    </w:p>
    <w:p>
      <w:r>
        <w:rPr>
          <w:b/>
        </w:rPr>
        <w:t xml:space="preserve">Ergebnis: </w:t>
      </w:r>
      <w:r>
        <w:t>Mortalität blieb stabil bei 11,3% (adjustierte RR pro Jahr: 1,01; 95% KI 0,99–1,02). Gesamthospitalisierungsrate sank von 61,6% (adjustierte RR 2008/2009 vs. 2020/2021: 0,87; 95% KI 0,79–0,95). VF-spezifische Readmissionen fielen deutlicher (19,2%, adjustierte RR: 0,24; 95% KI 0,22–0,26). Jüngere Patienten (&lt;70 Jahre) profitierten stärker.</w:t>
      </w:r>
    </w:p>
    <w:p>
      <w:r>
        <w:rPr>
          <w:b/>
          <w:sz w:val="19"/>
        </w:rPr>
        <w:t xml:space="preserve">Übertragbarkeit: </w:t>
      </w:r>
      <w:r>
        <w:rPr>
          <w:sz w:val="19"/>
        </w:rPr>
        <w:t>Israel-Krankenversicherungssystem ähnlich europäischen Sozialversicherungen, längere Beobachtung</w:t>
      </w:r>
    </w:p>
    <w:p>
      <w:r>
        <w:rPr>
          <w:color w:val="5A7D3A"/>
          <w:sz w:val="18"/>
        </w:rPr>
        <w:t>https://pubmed.ncbi.nlm.nih.gov/42815583/</w:t>
      </w:r>
    </w:p>
    <w:p>
      <w:pPr>
        <w:pStyle w:val="Heading2"/>
      </w:pPr>
      <w:r>
        <w:t>Nicht-TTN-Genmutationen bei dilatativer Kardiomyopathie: höheres Fibroserisiko und schlechtere Prognose</w:t>
      </w:r>
    </w:p>
    <w:p>
      <w:r>
        <w:rPr>
          <w:i/>
          <w:color w:val="666666"/>
          <w:sz w:val="18"/>
        </w:rPr>
        <w:t>Li Y et al.  ·  JACC Cardiovasc Imaging  ·  28.09.2026  ·  PMID 42814072</w:t>
      </w:r>
    </w:p>
    <w:p>
      <w:r>
        <w:t>Prospektive Kohortenstudie von 837 Patienten mit dilatativer Kardiomyopathie zu Genotyp-Phänotyp-Assoziationen und Langzeitergebnissen mittels Ganzgenomsequenzierung und Herzmagnetresonanztomographie.</w:t>
      </w:r>
    </w:p>
    <w:p>
      <w:r>
        <w:rPr>
          <w:b/>
        </w:rPr>
        <w:t xml:space="preserve">Ergebnis: </w:t>
      </w:r>
      <w:r>
        <w:t>Von 837 Patienten trugen 163 (19,5%) pathogene Varianten: 78 nicht-TTN, 85 TTN. Nicht-TTN-Varianten zeigten höhere Late-Gadolinium-Enhancement-Prävalenz (69,2% vs. 24,7% bei TTN), höhere T1 und extrazelluläres Volumen. Nicht-TTN-Varianten predizierten kardiovaskulären Tod/Transplantation (adjustierte HR 2,39; 95% KI 1,46–3,92; p&lt;0,001) und plötzlichen Herztod (adjustierte HR 3,26; 95% KI 1,59–6,65; p=0,001) unabhängig.</w:t>
      </w:r>
    </w:p>
    <w:p>
      <w:r>
        <w:rPr>
          <w:b/>
          <w:sz w:val="19"/>
        </w:rPr>
        <w:t xml:space="preserve">Übertragbarkeit: </w:t>
      </w:r>
      <w:r>
        <w:rPr>
          <w:sz w:val="19"/>
        </w:rPr>
        <w:t>Patientendaten aus China; genetische/bildgebende Mechanismen universal, Prognostik auf deutsches Patientengut übertragbar</w:t>
      </w:r>
    </w:p>
    <w:p>
      <w:r>
        <w:rPr>
          <w:color w:val="5A7D3A"/>
          <w:sz w:val="18"/>
        </w:rPr>
        <w:t>https://pubmed.ncbi.nlm.nih.gov/42814072/</w:t>
      </w:r>
    </w:p>
    <w:p>
      <w:pPr>
        <w:pStyle w:val="Heading2"/>
      </w:pPr>
      <w:r>
        <w:t>Periphere arterielle Verschlusskrankheit unterdiagnostiziert: 5-Jahres-Mortalität 30–50% bei später Diagnose</w:t>
      </w:r>
    </w:p>
    <w:p>
      <w:r>
        <w:rPr>
          <w:i/>
          <w:color w:val="666666"/>
          <w:sz w:val="18"/>
        </w:rPr>
        <w:t>Behrendt CA et al.  ·  Lancet  ·  03.10.2026  ·  PMID 42772316</w:t>
      </w:r>
    </w:p>
    <w:p>
      <w:r>
        <w:t>Aufruf-Review der Lancet-Serie zu globaler Epidemiologie, Unterdiagnose und Unterbehandlung der peripheren arteriellen Verschlusskrankheit in Primär- und Innere-Medizin-Praxis.</w:t>
      </w:r>
    </w:p>
    <w:p>
      <w:r>
        <w:rPr>
          <w:b/>
        </w:rPr>
        <w:t xml:space="preserve">Ergebnis: </w:t>
      </w:r>
      <w:r>
        <w:t>PAV bleibt lange asymptomatisch, Diagnose oft erst im fortgeschrittenen Stadium. 5-Jahres-Mortalität nach Diagnose 30–50%, übertrifft schwere Malignome und Herzinfarkt. Geringere Forschungspriorität und schlechte Adhärenz zu Lebensstiländerung und Therapie im Vergleich zu kardialer/zerebrovaskulärer Erkrankung. Serie fordert interdisziplinäre Strategien zur Prävention und frühen Erkennung.</w:t>
      </w:r>
    </w:p>
    <w:p>
      <w:r>
        <w:rPr>
          <w:b/>
          <w:sz w:val="19"/>
        </w:rPr>
        <w:t xml:space="preserve">Übertragbarkeit: </w:t>
      </w:r>
      <w:r>
        <w:rPr>
          <w:sz w:val="19"/>
        </w:rPr>
        <w:t>Deutschland/Europa: nationale PAV-Registererfassung, Leitlinienpositionierung, Hausarztqualifikation zentral</w:t>
      </w:r>
    </w:p>
    <w:p>
      <w:r>
        <w:rPr>
          <w:color w:val="5A7D3A"/>
          <w:sz w:val="18"/>
        </w:rPr>
        <w:t>https://pubmed.ncbi.nlm.nih.gov/42772316/</w:t>
      </w:r>
    </w:p>
    <w:p>
      <w:pPr>
        <w:pStyle w:val="Heading1"/>
      </w:pPr>
      <w:r>
        <w:t>Aufgenommen am 02.10.2026</w:t>
      </w:r>
    </w:p>
    <w:p>
      <w:pPr>
        <w:pStyle w:val="Heading2"/>
      </w:pPr>
      <w:r>
        <w:t>Lebensqualität bei Herzinsuffizienz vorhersagt 1-Jahres-Mortalität unabhängig von Auswurfleistung</w:t>
      </w:r>
    </w:p>
    <w:p>
      <w:r>
        <w:rPr>
          <w:i/>
          <w:color w:val="666666"/>
          <w:sz w:val="18"/>
        </w:rPr>
        <w:t>Walli-Attaei M et al.  ·  Eur J Heart Fail  ·  01.10.2026  ·  PMID 42820334</w:t>
      </w:r>
    </w:p>
    <w:p>
      <w:r>
        <w:t>ESC-Registry mit 10.130 HF-Patienten (38,6% akut, 61,4% ambulant): Assoziation zwischen gemessener Lebensqualität (EQ-5D-5L) und 1-Jahres-Ergebnis wurde untersucht.</w:t>
      </w:r>
    </w:p>
    <w:p>
      <w:r>
        <w:rPr>
          <w:b/>
        </w:rPr>
        <w:t xml:space="preserve">Ergebnis: </w:t>
      </w:r>
      <w:r>
        <w:t>0,1-Punkt-Abfall der Lebensqualität (Skala -0,59 bis 1,00) assoziiert mit 9% erhöhtem Mortalitätsrisiko (äquivalent 37 Tagen verlorener Vollgesundheit pro Jahr); Assoziation konsistent über alle EF-Kategorien. 45% der Patienten zeigten HRQoL-Verbesserung nach 1 Jahr; ACEi/ARB/ARNI-Nutzer profitiert mehr.</w:t>
      </w:r>
    </w:p>
    <w:p>
      <w:r>
        <w:rPr>
          <w:b/>
          <w:sz w:val="19"/>
        </w:rPr>
        <w:t xml:space="preserve">Übertragbarkeit: </w:t>
      </w:r>
      <w:r>
        <w:rPr>
          <w:sz w:val="19"/>
        </w:rPr>
        <w:t>Europäische Multizenterstudie, deutsches Versicherungssystem vergleichbar</w:t>
      </w:r>
    </w:p>
    <w:p>
      <w:r>
        <w:rPr>
          <w:color w:val="5A7D3A"/>
          <w:sz w:val="18"/>
        </w:rPr>
        <w:t>https://pubmed.ncbi.nlm.nih.gov/42820334/</w:t>
      </w:r>
    </w:p>
    <w:p>
      <w:pPr>
        <w:pStyle w:val="Heading2"/>
      </w:pPr>
      <w:r>
        <w:t>Prävention von Herzinsuffizienz über Kardio-Nieren-Metabolik-Spektrum: Europäischer Konsens</w:t>
      </w:r>
    </w:p>
    <w:p>
      <w:r>
        <w:rPr>
          <w:i/>
          <w:color w:val="666666"/>
          <w:sz w:val="18"/>
        </w:rPr>
        <w:t>Inciardi RM et al.  ·  Eur J Heart Fail  ·  01.10.2026  ·  PMID 42817848</w:t>
      </w:r>
    </w:p>
    <w:p>
      <w:r>
        <w:t>Europäischer Expertenkonsens zu pharmakologischen Strategien zur Herzinsuffizienz-Prävention durch frühe, parallele Initiierung von ACE-Hemmern/ARNi, SGLT2-Hemmern, nicht-steroidalen MRA und Inkretinagenzien.</w:t>
      </w:r>
    </w:p>
    <w:p>
      <w:r>
        <w:rPr>
          <w:b/>
        </w:rPr>
        <w:t xml:space="preserve">Ergebnis: </w:t>
      </w:r>
      <w:r>
        <w:t>ACE-Hemmer/ARNi, SGLT2-Hemmer, nicht-steroidale MRA und Inkretinagenzien zeigen komplementäre Benefits bei Reduktion von HF-Ereignissen, kardiovaskulärem Tod und CKD-Progression in Hochrisikogruppen. Frühe parallele Initiierung kann Krankheitsverlauf modifizieren und Progression von Präklinik zu manifester HF verhindern.</w:t>
      </w:r>
    </w:p>
    <w:p>
      <w:r>
        <w:rPr>
          <w:b/>
          <w:sz w:val="19"/>
        </w:rPr>
        <w:t xml:space="preserve">Übertragbarkeit: </w:t>
      </w:r>
      <w:r>
        <w:rPr>
          <w:sz w:val="19"/>
        </w:rPr>
        <w:t>Europa: Strukturierte CKM-Versorgungspfade etablierbar in deutschen Systemen</w:t>
      </w:r>
    </w:p>
    <w:p>
      <w:r>
        <w:rPr>
          <w:color w:val="5A7D3A"/>
          <w:sz w:val="18"/>
        </w:rPr>
        <w:t>https://pubmed.ncbi.nlm.nih.gov/42817848/</w:t>
      </w:r>
    </w:p>
    <w:p>
      <w:pPr>
        <w:pStyle w:val="Heading2"/>
      </w:pPr>
      <w:r>
        <w:t>Strain-Imaging erkennt HF-Risiko früher als Auswurflektion, prognostisch 1,6-fach besser</w:t>
      </w:r>
    </w:p>
    <w:p>
      <w:r>
        <w:rPr>
          <w:i/>
          <w:color w:val="666666"/>
          <w:sz w:val="18"/>
        </w:rPr>
        <w:t>Kosmala W et al.  ·  ESC Heart Fail  ·  30.09.2026  ·  PMID 42813228</w:t>
      </w:r>
    </w:p>
    <w:p>
      <w:r>
        <w:t>Synthesearbeit zur Rolle von 2D-Speckle-Tracking-Echokardiographie (GLS, LA-Strain, RV-Strain) in HF-Früherkennung, Phänotypisierung und Risikostratifizierung.</w:t>
      </w:r>
    </w:p>
    <w:p>
      <w:r>
        <w:rPr>
          <w:b/>
        </w:rPr>
        <w:t xml:space="preserve">Ergebnis: </w:t>
      </w:r>
      <w:r>
        <w:t>GLS &lt;16% zeigt 4-fach höheres Hospitalisierungsrisiko in Präklinik (Stage B); in HFpEF validierte diagnostische Minorkriterium. GLS 1,6-fach besserer prognostischer Marker als LVEF, besonders in Präklinik und HFpEF. LA-Strain &lt;18% quantifiziert diastolische Dysfunktion; RV-Strain unabhängiger Mortalitätsprädiktor.</w:t>
      </w:r>
    </w:p>
    <w:p>
      <w:r>
        <w:rPr>
          <w:b/>
          <w:sz w:val="19"/>
        </w:rPr>
        <w:t xml:space="preserve">Übertragbarkeit: </w:t>
      </w:r>
      <w:r>
        <w:rPr>
          <w:sz w:val="19"/>
        </w:rPr>
        <w:t>Europäische Evidenz, Echokardiographie in deutscher Flächenversorgung verfügbar</w:t>
      </w:r>
    </w:p>
    <w:p>
      <w:r>
        <w:rPr>
          <w:color w:val="5A7D3A"/>
          <w:sz w:val="18"/>
        </w:rPr>
        <w:t>https://pubmed.ncbi.nlm.nih.gov/42813228/</w:t>
      </w:r>
    </w:p>
    <w:p>
      <w:pPr>
        <w:pStyle w:val="Heading2"/>
      </w:pPr>
      <w:r>
        <w:t>Finerenon unterlegen Spironolacton bei HFmrEF/HFpEF nicht, senkt Hyperkaliämie stärker</w:t>
      </w:r>
    </w:p>
    <w:p>
      <w:r>
        <w:rPr>
          <w:i/>
          <w:color w:val="666666"/>
          <w:sz w:val="18"/>
        </w:rPr>
        <w:t>Ha PTK et al.  ·  ESC Heart Fail  ·  30.09.2026  ·  PMID 42813221</w:t>
      </w:r>
    </w:p>
    <w:p>
      <w:r>
        <w:t>Real-World-Vergleich (TriNetX, 9/2021-3/2025): 1.417 propensity-matched Paare mit HFmrEF/HFpEF, initiiert Finerenon oder Spironolacton, 12-Monats-Outcomes gemessen.</w:t>
      </w:r>
    </w:p>
    <w:p>
      <w:r>
        <w:rPr>
          <w:b/>
        </w:rPr>
        <w:t xml:space="preserve">Ergebnis: </w:t>
      </w:r>
      <w:r>
        <w:t>Finerenon: primärer Endpunkt (Mortalität oder HF-Exazerbation) 32,3% vs. 41,7% unter Spironolacton (aHR 0,72; 95%-KI 0,64–0,82). Mortalität aHR 0,67 (0,51–0,87), HF-Exazerbation aHR 0,73 (0,64–0,83), Klinikaufenthalte aHR 0,83 (0,76–0,91). Hyperkaliämie seltener: 17,9% vs. 22,8% (RR 0,79).</w:t>
      </w:r>
    </w:p>
    <w:p>
      <w:r>
        <w:rPr>
          <w:b/>
          <w:sz w:val="19"/>
        </w:rPr>
        <w:t xml:space="preserve">Übertragbarkeit: </w:t>
      </w:r>
      <w:r>
        <w:rPr>
          <w:sz w:val="19"/>
        </w:rPr>
        <w:t>Observational, multinational; Hypokalämie-Profil relevant für deutsche Praxis</w:t>
      </w:r>
    </w:p>
    <w:p>
      <w:r>
        <w:rPr>
          <w:color w:val="5A7D3A"/>
          <w:sz w:val="18"/>
        </w:rPr>
        <w:t>https://pubmed.ncbi.nlm.nih.gov/42813221/</w:t>
      </w:r>
    </w:p>
    <w:p>
      <w:pPr>
        <w:pStyle w:val="Heading2"/>
      </w:pPr>
      <w:r>
        <w:t>Periphere arterielle Erkrankung: moderne Therapie reduziert Limbenamputation und Behinderung</w:t>
      </w:r>
    </w:p>
    <w:p>
      <w:r>
        <w:rPr>
          <w:i/>
          <w:color w:val="666666"/>
          <w:sz w:val="18"/>
        </w:rPr>
        <w:t>Tulamo R et al.  ·  Lancet  ·  03.10.2026  ·  PMID 42772315</w:t>
      </w:r>
    </w:p>
    <w:p>
      <w:r>
        <w:t>Zweites Lancet-Übersichtspapier der PAD-Serie: Modernes Management mit medikamentöser Therapie, Lebensstiländerung, Bewegungstherapie und selektiver Revaskularisation bei niedriger Amputationsrate.</w:t>
      </w:r>
    </w:p>
    <w:p>
      <w:r>
        <w:rPr>
          <w:b/>
        </w:rPr>
        <w:t xml:space="preserve">Ergebnis: </w:t>
      </w:r>
      <w:r>
        <w:t>Supervised Exercise Therapy wirksam zur Gehleistungsverbesserung bei Claudicatio; Revaskularisation übernutzt in dieser Gruppe, reserviert für Critical Limb Ischemia. Perioperative Risiken erheblich; Innovation in Therapie fokussiert auf Lebensqualität und Überleben, nicht isoliert auf Perfusion. Polyvaskularität kompliziert Management.</w:t>
      </w:r>
    </w:p>
    <w:p>
      <w:r>
        <w:rPr>
          <w:b/>
          <w:sz w:val="19"/>
        </w:rPr>
        <w:t xml:space="preserve">Übertragbarkeit: </w:t>
      </w:r>
      <w:r>
        <w:rPr>
          <w:sz w:val="19"/>
        </w:rPr>
        <w:t>Europäische Autoren, deutsches Gesundheitssystem relevant</w:t>
      </w:r>
    </w:p>
    <w:p>
      <w:r>
        <w:rPr>
          <w:color w:val="5A7D3A"/>
          <w:sz w:val="18"/>
        </w:rPr>
        <w:t>https://pubmed.ncbi.nlm.nih.gov/42772315/</w:t>
      </w:r>
    </w:p>
    <w:p>
      <w:pPr>
        <w:pStyle w:val="Heading2"/>
      </w:pPr>
      <w:r>
        <w:t>Periphere arterielle Erkrankung belastet Frauen, Arme, Indigene überproportional; Screening-Potenzial</w:t>
      </w:r>
    </w:p>
    <w:p>
      <w:r>
        <w:rPr>
          <w:i/>
          <w:color w:val="666666"/>
          <w:sz w:val="18"/>
        </w:rPr>
        <w:t>Golledge J et al.  ·  Lancet  ·  03.10.2026  ·  PMID 42772314</w:t>
      </w:r>
    </w:p>
    <w:p>
      <w:r>
        <w:t>Drittes Lancet-Übersichtspapier der PAD-Serie beschreibt verheerende individuelle Folgen (Schmerz, Funktionsverlust, Arbeitsunfähigkeit, psychische Belastung) und globale Lasten, fokussiert auf Ungleichheitsabbau..</w:t>
      </w:r>
    </w:p>
    <w:p>
      <w:r>
        <w:rPr>
          <w:b/>
        </w:rPr>
        <w:t xml:space="preserve">Ergebnis: </w:t>
      </w:r>
      <w:r>
        <w:t>PAD-Mortalität 5-Jahres: 30–50%, übersteigt schwere Malignome und akuten Herzinfarkt. Frauen, First-Nations-Bevölkerungen, Nichtweiße, sozial Benachteiligte und Rural-Bewohner stark belastet. Empfehlungen: Multidisziplinarität, Awareness-Kampagnen, Screening- und Early-Management-Studien in unterversorgten Gruppen.</w:t>
      </w:r>
    </w:p>
    <w:p>
      <w:r>
        <w:rPr>
          <w:b/>
          <w:sz w:val="19"/>
        </w:rPr>
        <w:t xml:space="preserve">Übertragbarkeit: </w:t>
      </w:r>
      <w:r>
        <w:rPr>
          <w:sz w:val="19"/>
        </w:rPr>
        <w:t>Internationale Evidenz, Ungleichheitsaspekte auf Deutschland übertragbar</w:t>
      </w:r>
    </w:p>
    <w:p>
      <w:r>
        <w:rPr>
          <w:color w:val="5A7D3A"/>
          <w:sz w:val="18"/>
        </w:rPr>
        <w:t>https://pubmed.ncbi.nlm.nih.gov/42772314/</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2026-10-20T06:00:00Z</dcterms:created>
  <dcterms:modified xsi:type="dcterms:W3CDTF">2026-10-20T06:00:00Z</dcterms:modified>
  <cp:category/>
</cp:coreProperties>
</file>