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1737360" cy="4596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vf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737360" cy="4596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0051A1"/>
          <w:sz w:val="19"/>
        </w:rPr>
        <w:t>Ein Service des Knowledge-Hubs von Monitor Versorgungsforschung. Täglich automatisiert KI-kuratiert aus PubMed und auf Deutsch übersetzt.</w:t>
      </w:r>
    </w:p>
    <w:p>
      <w:pPr>
        <w:pStyle w:val="Title"/>
      </w:pPr>
      <w:r>
        <w:t>Neueste Studien - Kardiologie</w:t>
      </w:r>
    </w:p>
    <w:p>
      <w:r>
        <w:rPr>
          <w:i/>
          <w:color w:val="666666"/>
          <w:sz w:val="18"/>
        </w:rPr>
        <w:t>Stand: 19.10.2026  |  6 Studien  |  kardio.m-vf.de</w:t>
      </w:r>
    </w:p>
    <w:p>
      <w:pPr>
        <w:pStyle w:val="Heading1"/>
      </w:pPr>
      <w:r>
        <w:t>Aufgenommen am 19.10.2026</w:t>
      </w:r>
    </w:p>
    <w:p>
      <w:pPr>
        <w:pStyle w:val="Heading2"/>
      </w:pPr>
      <w:r>
        <w:t>GLP-1-Agonisten senken Vorhofflimmernrisiko bei Adipositas und Nierenerkrankung</w:t>
      </w:r>
    </w:p>
    <w:p>
      <w:r>
        <w:rPr>
          <w:i/>
          <w:color w:val="666666"/>
          <w:sz w:val="18"/>
        </w:rPr>
        <w:t>Hassan A et al.  ·  Int J Cardiol  ·  17.10.2026  ·  PMID 42892471</w:t>
      </w:r>
    </w:p>
    <w:p>
      <w:r>
        <w:t>Retrospektive Kohortenstudie an 7.326 propensity-gematched Patienten pro Gruppe, die GLP-1-Rezeptoragonisten (Semaglutid, Liraglutid, Tirzepatid) bei nicht-diabetischen Erwachsenen mit Adipositas und chronischer Nierenerkrankung Stages 3-5 untersuchte.</w:t>
      </w:r>
    </w:p>
    <w:p>
      <w:r>
        <w:rPr>
          <w:b/>
        </w:rPr>
        <w:t xml:space="preserve">Ergebnis: </w:t>
      </w:r>
      <w:r>
        <w:t>Nach 1 Jahr Inzidenz-Vorhofflimmern 1,63% unter GLP-1-RA vs. 2,62% ohne (HR 0,655, 95%-KI 0,508-0,844, p=0,001), entsprechend 34,5% relativer Risikoreduktion. Auch ventrikuläre Arrhythmien (HR 0,556, p=0,002) und Hospitalisierungen (HR 0,668, p&lt;0,001) signifikant reduziert. Effekte persistent über 2–3 Jahre.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USA-Daten (TriNetX), begrenzte Direktübertragung auf deutsches System</w:t>
      </w:r>
    </w:p>
    <w:p>
      <w:r>
        <w:rPr>
          <w:color w:val="5A7D3A"/>
          <w:sz w:val="18"/>
        </w:rPr>
        <w:t>https://pubmed.ncbi.nlm.nih.gov/42892471/</w:t>
      </w:r>
    </w:p>
    <w:p>
      <w:pPr>
        <w:pStyle w:val="Heading2"/>
      </w:pPr>
      <w:r>
        <w:t>Alkoholbedingte Leberfettsucht erhöht Schlaganfallrisiko bei Vorhofflimmern</w:t>
      </w:r>
    </w:p>
    <w:p>
      <w:r>
        <w:rPr>
          <w:i/>
          <w:color w:val="666666"/>
          <w:sz w:val="18"/>
        </w:rPr>
        <w:t>Go YH et al.  ·  Heart Rhythm  ·  16.10.2026  ·  PMID 42887623</w:t>
      </w:r>
    </w:p>
    <w:p>
      <w:r>
        <w:t>Nationale koreanische Kohorte von 196.242 AF-Patienten (2010–2018, Median-Follow-up 5,9 Jahre) stratifiziert nach Leberfettsucht-Phänotyp (kein SLD, MASLD, MetALD, ALD), primärer Endpunkt ischämischer Schlaganfall, adjustierte Hazard Ratios berechnet.</w:t>
      </w:r>
    </w:p>
    <w:p>
      <w:r>
        <w:rPr>
          <w:b/>
        </w:rPr>
        <w:t xml:space="preserve">Ergebnis: </w:t>
      </w:r>
      <w:r>
        <w:t>Gegenüber kein-SLD: MASLD nicht assoziiert mit Schlaganfallrisiko (aHR 1,00, 95%-KI 0,97–1,04). MetALD: aHR 1,09 (KI 1,00–1,18); ALD: aHR 1,16 (KI 1,08–1,26). Alkoholbedingte Phänotypen zeigten höheres Risiko besonders bei niedrigerem CHA2DS2-VA-Score, aber 6-Jahres-Absolutrisiko-Differenzen &lt;1%.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Südkorea-Kohorte, generalisierbar auf Bevölkerungen ähnlicher Baseline-Epidemiologie</w:t>
      </w:r>
    </w:p>
    <w:p>
      <w:r>
        <w:rPr>
          <w:color w:val="5A7D3A"/>
          <w:sz w:val="18"/>
        </w:rPr>
        <w:t>https://pubmed.ncbi.nlm.nih.gov/42887623/</w:t>
      </w:r>
    </w:p>
    <w:p>
      <w:pPr>
        <w:pStyle w:val="Heading2"/>
      </w:pPr>
      <w:r>
        <w:t>Kardiopulmonale Belastungstestung reduziert Herzinsuffizienz-Sterblichkeit bei Weißen und Hispanern</w:t>
      </w:r>
    </w:p>
    <w:p>
      <w:r>
        <w:rPr>
          <w:i/>
          <w:color w:val="666666"/>
          <w:sz w:val="18"/>
        </w:rPr>
        <w:t>Rice J et al.  ·  ESC Heart Fail  ·  27.08.2026  ·  PMID 42887014</w:t>
      </w:r>
    </w:p>
    <w:p>
      <w:r>
        <w:t>Retrospektive Kohortenstudie mit Propensity-Score-Matching an 8.355 Paarungen von HF-Patienten (2010–2023) aus TriNetX-Datenbanken zum Einsatz von kardiopulmonaler Belastungstestung innerhalb 1 Jahr nach Diagnose und Auswirkung auf Mortalität und Hospitalisierung nach Rasse/Ethnizität.</w:t>
      </w:r>
    </w:p>
    <w:p>
      <w:r>
        <w:rPr>
          <w:b/>
        </w:rPr>
        <w:t xml:space="preserve">Ergebnis: </w:t>
      </w:r>
      <w:r>
        <w:t>CPET-Nutzung insgesamt 1,27% (Weiße 1,39%, Schwarze 1,20%, Hispanier 0,69%, Asiaten 0,79%). 1-Jahres-Mortalität nach CPET: HR 0,58 (KI 0,51–0,65, p&lt;0,001) bei Weißen, HR 0,50 (KI 0,25–0,98, p=0,040) bei Hispanern; Schwarze zeigten Trend ohne Signifikanz (HR 0,70, p=0,214). HF-Hospitalisierung höher in CPET-Gruppe (Überwachungsbias).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USA-Daten, Disparitäten-Befund ist übertragbar, Absolut-Zahlen sind nicht generalisierbar</w:t>
      </w:r>
    </w:p>
    <w:p>
      <w:r>
        <w:rPr>
          <w:color w:val="5A7D3A"/>
          <w:sz w:val="18"/>
        </w:rPr>
        <w:t>https://pubmed.ncbi.nlm.nih.gov/42887014/</w:t>
      </w:r>
    </w:p>
    <w:p>
      <w:pPr>
        <w:pStyle w:val="Heading2"/>
      </w:pPr>
      <w:r>
        <w:t>Linksventrikuläre Wandspannung vorhersagbar für neue Herzinsuffizienz</w:t>
      </w:r>
    </w:p>
    <w:p>
      <w:r>
        <w:rPr>
          <w:i/>
          <w:color w:val="666666"/>
          <w:sz w:val="18"/>
        </w:rPr>
        <w:t>White A et al.  ·  Am J Cardiol  ·  14.10.2026  ·  PMID 42874760</w:t>
      </w:r>
    </w:p>
    <w:p>
      <w:r>
        <w:t>Retrospektive Kohortenstudie von 29.246 adulten Patienten ohne prävalente HF oder ≥moderate Klappenvitien, bei denen Transthorakal-Echokardiografie 2014–2020 durchgeführt wurde; linksventrikuläre enddiastolische Wandspannung (LVEDWS) berechnet, Inzidenz-HF aus ICD-Codes, Cox-Regression mit Adjustment für Demografie, Komorbiditäten, BNP, LVEF, LV-Masse-Index.</w:t>
      </w:r>
    </w:p>
    <w:p>
      <w:r>
        <w:rPr>
          <w:b/>
        </w:rPr>
        <w:t xml:space="preserve">Ergebnis: </w:t>
      </w:r>
      <w:r>
        <w:t>Kohorte Median-Alter 59 Jahre, 54% Frauen, 11% Black. Median LVEDWS 14,5 (IQR 11,8–18,0) kdynes/cm². Follow-up maximal 8,2 Jahre (Median 3,7). 3.082 (11%) entwickelten Inzidenz-HF. Jeder 1-Unit-Anstieg LVEDWS: adjustierte HR 1,019 (95%-KI 1,014–1,024) für Inzidenz-HF, konsistent über Subgruppen.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USA-Klinikdaten (Vanderbilt), Echokardiografie-Parameter sind technisch global standardisiert</w:t>
      </w:r>
    </w:p>
    <w:p>
      <w:r>
        <w:rPr>
          <w:color w:val="5A7D3A"/>
          <w:sz w:val="18"/>
        </w:rPr>
        <w:t>https://pubmed.ncbi.nlm.nih.gov/42874760/</w:t>
      </w:r>
    </w:p>
    <w:p>
      <w:pPr>
        <w:pStyle w:val="Heading2"/>
      </w:pPr>
      <w:r>
        <w:t>PCI-Aufschub vor TAVR sicher, aber bei komplexer KHK (SYNTAX &gt;17) erhöhtes Ischämierisiko</w:t>
      </w:r>
    </w:p>
    <w:p>
      <w:r>
        <w:rPr>
          <w:i/>
          <w:color w:val="666666"/>
          <w:sz w:val="18"/>
        </w:rPr>
        <w:t>Broeze GM et al.  ·  JACC Cardiovasc Interv  ·  12.10.2026  ·  PMID 42863875</w:t>
      </w:r>
    </w:p>
    <w:p>
      <w:r>
        <w:t>Substudie der randomisierten PRO-TAVI-Studie an 466 Patienten mit bedeutsamer koronarer Herzerkrankung und TAVR-Indikation, stratifiziert nach SYNTAX-Score (Ausmaß der KHK), verglichen PCI-Aufschub vs. PCI vor TAVR.</w:t>
      </w:r>
    </w:p>
    <w:p>
      <w:r>
        <w:rPr>
          <w:b/>
        </w:rPr>
        <w:t xml:space="preserve">Ergebnis: </w:t>
      </w:r>
      <w:r>
        <w:t>Primärer Endpunkt (Mortalität, MI, Schlaganfall, schwere Blutung) bei 1 Jahr nicht unterschiedlich zwischen Gruppen. Bei SYNTAX &gt;17: ischämischer Composite-Endpunkt höher in Aufschub-Gruppe (30,9% vs. 14,8%, adjustierte HR 2,43, 95%-KI 1,04–5,64, p=0,04). Blutungen weniger häufig bei Aufschub über alle SYNTAX-Kategorien.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Niederlande (ZonMw-finanziert), vergleichbares System, direktübertragbar</w:t>
      </w:r>
    </w:p>
    <w:p>
      <w:r>
        <w:rPr>
          <w:color w:val="5A7D3A"/>
          <w:sz w:val="18"/>
        </w:rPr>
        <w:t>https://pubmed.ncbi.nlm.nih.gov/42863875/</w:t>
      </w:r>
    </w:p>
    <w:p>
      <w:pPr>
        <w:pStyle w:val="Heading2"/>
      </w:pPr>
      <w:r>
        <w:t>Netzhaut-Asymmetrie vorhersagbar für Herzinsuffizienz und koronare Erkrankung</w:t>
      </w:r>
    </w:p>
    <w:p>
      <w:r>
        <w:rPr>
          <w:i/>
          <w:color w:val="666666"/>
          <w:sz w:val="18"/>
        </w:rPr>
        <w:t>Liu A et al.  ·  J Am Heart Assoc  ·  06.10.2026  ·  PMID 42808435</w:t>
      </w:r>
    </w:p>
    <w:p>
      <w:r>
        <w:t>Prospektive UK-Biobank-Kohortenstudie an 46.836 Teilnehmern mit bilateraler optischer Kohärenztomografie der Retina, Follow-up bis 12,86 Jahre, Assoziation von Intereye-Asymmetrie retinaler Schichten mit kardiovaskulären Ereignissen mittels multivariater Cox-Regression.</w:t>
      </w:r>
    </w:p>
    <w:p>
      <w:r>
        <w:rPr>
          <w:b/>
        </w:rPr>
        <w:t xml:space="preserve">Ergebnis: </w:t>
      </w:r>
      <w:r>
        <w:t>Größere retinale Asymmetrie konsistent mit kardiovaskulärer Erkrankung assoziiert. Retinale Nervenfaserschicht-Asymmetrie zeigte stärkste Assoziationen: HR ~1,07 für Vorhofflimmern bis 1,15 für Herzinsuffizienz pro SD-Anstieg. Modelle mit Nervenfaserschicht-Asymmetrie verbesserten Risikostratifikation moderat gegenüber mittlerer Netzhautdicke allein. Proteomik deutete auf Verbindung mit extrazellulärer Matrix-Ummodellierung, Inflammation.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UK-Daten, Screening-Marker ohne unmittelbare deutsche Umsetzung verfügbar</w:t>
      </w:r>
    </w:p>
    <w:p>
      <w:r>
        <w:rPr>
          <w:color w:val="5A7D3A"/>
          <w:sz w:val="18"/>
        </w:rPr>
        <w:t>https://pubmed.ncbi.nlm.nih.gov/42808435/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Neueste Studien - Kardiologie</dc:title>
  <dc:subject/>
  <dc:creator>Monitor Versorgungsforschung</dc:creator>
  <cp:keywords/>
  <dc:description>generated by python-docx</dc:description>
  <cp:lastModifiedBy/>
  <cp:revision>1</cp:revision>
  <dcterms:created xsi:type="dcterms:W3CDTF">2026-10-19T06:00:00Z</dcterms:created>
  <dcterms:modified xsi:type="dcterms:W3CDTF">2026-10-19T06:00:00Z</dcterms:modified>
  <cp:category/>
</cp:coreProperties>
</file>