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22.09.2026  |  6 Studien  |  kardio.m-vf.de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Blutdruckoptimierung senkt intrakranielle Blutung nach Tenecteplase bei Myokardinfarkt</w:t>
      </w:r>
    </w:p>
    <w:p>
      <w:r>
        <w:rPr>
          <w:i/>
          <w:color w:val="666666"/>
          <w:sz w:val="18"/>
        </w:rPr>
        <w:t>Armstrong PW et al.  ·  Eur Heart J  ·  21.09.2026  ·  PMID 42766418</w:t>
      </w:r>
    </w:p>
    <w:p>
      <w:r>
        <w:t>Poolanalyse von 15.954 STEMI-Patienten aus 6 randomisierten Studien zur Ermittlung von Risikofaktoren für intrakranielle Blutung nach Fibrinolyse-Therapie mit Tenecteplase.</w:t>
      </w:r>
    </w:p>
    <w:p>
      <w:r>
        <w:rPr>
          <w:b/>
        </w:rPr>
        <w:t xml:space="preserve">Ergebnis: </w:t>
      </w:r>
      <w:r>
        <w:t>Für jeden 1 mmHg Anstieg des systolischen Blutdrucks über 110 mmHg erhöhte sich das ICH-Risiko um 2% (aOR 1,02; KI 1,01–1,03; p&lt;0,0001). Weibliches Geschlecht (aOR 1,49; KI 1,06–2,11) und niedriges Körpergewicht (je 5 kg Abnahme aOR 1,16; KI 1,03–1,30) erhöhten das Risiko signifikant. Ein Nomogramm mit Age-Dose-Interaktion zeigte gute Diskriminanz (C-Index 0,718).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Myokardinfarkt-Studien mit standardisierter Blutdruck-Exclusion</w:t>
      </w:r>
    </w:p>
    <w:p>
      <w:r>
        <w:rPr>
          <w:color w:val="5A7D3A"/>
          <w:sz w:val="18"/>
        </w:rPr>
        <w:t>https://pubmed.ncbi.nlm.nih.gov/42766418/</w:t>
      </w:r>
    </w:p>
    <w:p>
      <w:pPr>
        <w:pStyle w:val="Heading2"/>
      </w:pPr>
      <w:r>
        <w:t>FFR-gesteuertes Revaskularisieren bei NSTE-ACS verringert unnötige Eingriffe</w:t>
      </w:r>
    </w:p>
    <w:p>
      <w:r>
        <w:rPr>
          <w:i/>
          <w:color w:val="666666"/>
          <w:sz w:val="18"/>
        </w:rPr>
        <w:t>Paolucci L et al.  ·  EuroIntervention  ·  21.09.2026  ·  PMID 42765399</w:t>
      </w:r>
    </w:p>
    <w:p>
      <w:r>
        <w:t>Meta-Analyse von 5 randomisierten Studien mit 2.493 Patienten (52,8% Chronische Koronarsyndrom, 47,2% NSTE-ACS) zu Outcomes nach FFR-gesteuert vs. angiographisch-gesteuerter PCI.</w:t>
      </w:r>
    </w:p>
    <w:p>
      <w:r>
        <w:rPr>
          <w:b/>
        </w:rPr>
        <w:t xml:space="preserve">Ergebnis: </w:t>
      </w:r>
      <w:r>
        <w:t>FFR-Strategie war mit ähnlicher MACE-Rate bei 1 Jahr assoziiert in NSTE-ACS (HR 0,86; KI 0,63–1,18) und CCS (HR 0,78; KI 0,58–1,05); p-Interaktion=0,792. Keine erhöhte MACE-Rate durch Lesion-Deferral. Befund über 5 Jahre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Studiennetze, direkt auf deutsches Revaskularisierungs-Management übertragbar</w:t>
      </w:r>
    </w:p>
    <w:p>
      <w:r>
        <w:rPr>
          <w:color w:val="5A7D3A"/>
          <w:sz w:val="18"/>
        </w:rPr>
        <w:t>https://pubmed.ncbi.nlm.nih.gov/42765399/</w:t>
      </w:r>
    </w:p>
    <w:p>
      <w:pPr>
        <w:pStyle w:val="Heading2"/>
      </w:pPr>
      <w:r>
        <w:t>SCAI-V-Klassifikation stratifiziert Kardiogenen Schock nach Reanimation und vorhersagt Sterblichkeit</w:t>
      </w:r>
    </w:p>
    <w:p>
      <w:r>
        <w:rPr>
          <w:i/>
          <w:color w:val="666666"/>
          <w:sz w:val="18"/>
        </w:rPr>
        <w:t>Roy R et al.  ·  EuroIntervention  ·  21.09.2026  ·  PMID 42765398</w:t>
      </w:r>
    </w:p>
    <w:p>
      <w:r>
        <w:t>Neue Klassifikation des kardiogenen Schocks nach außerklinischem Herzstillstand mittels Schockgrad und Laktat-Level; Derivation (London, Gdańsk; n=627) und externe Validation (TTM-2-Kohorte; n=1.781).</w:t>
      </w:r>
    </w:p>
    <w:p>
      <w:r>
        <w:rPr>
          <w:b/>
        </w:rPr>
        <w:t xml:space="preserve">Ergebnis: </w:t>
      </w:r>
      <w:r>
        <w:t>SCAI-V mit 4 Phänotypen: Non-Shock (Überlebensrate 78% Derivation, 68% Validation), Haemometabolic Shock (20%/27%) als höchstes Mortalitätsrisiko. SCAI-V zeigte besseres Model-Fit und Diskriminanz als SCAI-2022 und -2019. Alle-Ursachen-Mortalität p&lt;0,001.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Intensivmedizin und Reanimations-Praxis, vergleichbare Standards</w:t>
      </w:r>
    </w:p>
    <w:p>
      <w:r>
        <w:rPr>
          <w:color w:val="5A7D3A"/>
          <w:sz w:val="18"/>
        </w:rPr>
        <w:t>https://pubmed.ncbi.nlm.nih.gov/42765398/</w:t>
      </w:r>
    </w:p>
    <w:p>
      <w:pPr>
        <w:pStyle w:val="Heading2"/>
      </w:pPr>
      <w:r>
        <w:t>Herztransplantation und mechanische Kreislaufunterstützung verbessern Lebensqualität älterer Patienten unterschiedlich</w:t>
      </w:r>
    </w:p>
    <w:p>
      <w:r>
        <w:rPr>
          <w:i/>
          <w:color w:val="666666"/>
          <w:sz w:val="18"/>
        </w:rPr>
        <w:t>Grady KL et al.  ·  Circ Heart Fail  ·  21.09.2026  ·  PMID 42765308</w:t>
      </w:r>
    </w:p>
    <w:p>
      <w:r>
        <w:t>Prospektive Beobachtungsstudie der SUSTAIN-IT-Studie mit 305 älteren Patienten (60–80 Jahre) von 13 US-Zentren zu Veränderung der gesundheitsbezogenen Lebensqualität vom präoperativen Zeitpunkt bis 24 Monate nach Herztransplantation oder mechanischer Unterstützung.</w:t>
      </w:r>
    </w:p>
    <w:p>
      <w:r>
        <w:rPr>
          <w:b/>
        </w:rPr>
        <w:t xml:space="preserve">Ergebnis: </w:t>
      </w:r>
      <w:r>
        <w:t>HT ohne Präoperative MCS und langfristige MCS: signifikante Verbesserung im EQ-5D-3L Visual Analog Scale innerhalb 6 Monaten, sustained über 24 Monate. Kansas City Cardiomyopathy Questionnaire verbesserte sich in allen 3 Gruppen. MCS zeigte Reduktion von -11,2 Punkten (KI -17,3 bis -5,1; p&lt;0,001) vs. HT ohne MCS.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HRQOL-Methoden und Outcomemessung sind international standardisiert</w:t>
      </w:r>
    </w:p>
    <w:p>
      <w:r>
        <w:rPr>
          <w:color w:val="5A7D3A"/>
          <w:sz w:val="18"/>
        </w:rPr>
        <w:t>https://pubmed.ncbi.nlm.nih.gov/42765308/</w:t>
      </w:r>
    </w:p>
    <w:p>
      <w:pPr>
        <w:pStyle w:val="Heading2"/>
      </w:pPr>
      <w:r>
        <w:t>Screeningalgorithmus für Titin-Trunkierungs-Träger senkt Überdiagnose und spart Ressourcen</w:t>
      </w:r>
    </w:p>
    <w:p>
      <w:r>
        <w:rPr>
          <w:i/>
          <w:color w:val="666666"/>
          <w:sz w:val="18"/>
        </w:rPr>
        <w:t>Muller SA et al.  ·  Circ Heart Fail  ·  21.09.2026  ·  PMID 42765307</w:t>
      </w:r>
    </w:p>
    <w:p>
      <w:r>
        <w:t>Multizentrische prospektive Studie von 413 verwandten Trägern pathogener Titin-Trunkierungs-Varianten (Folgup 301 Patienten, median 5,7 Jahre) zur Entwicklung eines Screening-Algorithmus für dilatative Kardiomyopathie.</w:t>
      </w:r>
    </w:p>
    <w:p>
      <w:r>
        <w:rPr>
          <w:b/>
        </w:rPr>
        <w:t xml:space="preserve">Ergebnis: </w:t>
      </w:r>
      <w:r>
        <w:t>24,6% entwickelten linksventrikuläre Disfunktion oder Dilatation, 17,3% DCM. 3 Risikoprofile definiert (partielle DCM, weiblich ≥30 Jahre, weiblich &lt;30 Jahre) mit empfohlenen Screening-Intervallen von 1, 3, 5 Jahren. 5,3% erlebten Major Adverse Cardiac Events nach DCM-Diagnose.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seltene Herzerkrankungen, nationale genetische Screeningprogramme</w:t>
      </w:r>
    </w:p>
    <w:p>
      <w:r>
        <w:rPr>
          <w:color w:val="5A7D3A"/>
          <w:sz w:val="18"/>
        </w:rPr>
        <w:t>https://pubmed.ncbi.nlm.nih.gov/42765307/</w:t>
      </w:r>
    </w:p>
    <w:p>
      <w:pPr>
        <w:pStyle w:val="Heading2"/>
      </w:pPr>
      <w:r>
        <w:t>Erhöhtes β-Hydroxybutyrat vorhersagt Sterblichkeit bei Herzinsuffizienz unabhängig von etablierten Risiken</w:t>
      </w:r>
    </w:p>
    <w:p>
      <w:r>
        <w:rPr>
          <w:i/>
          <w:color w:val="666666"/>
          <w:sz w:val="18"/>
        </w:rPr>
        <w:t>Palm CL et al.  ·  ESC Heart Fail  ·  27.08.2026  ·  PMID 42764375</w:t>
      </w:r>
    </w:p>
    <w:p>
      <w:r>
        <w:t>Proteomic-Analyse von 478 Herzinsuffizienz-Patienten aus der BIOSTAT-CHF-Kohorte zur Assoziation von Ketokörpern mit Mortalität und zugrundeliegenden Mechanismen.</w:t>
      </w:r>
    </w:p>
    <w:p>
      <w:r>
        <w:rPr>
          <w:b/>
        </w:rPr>
        <w:t xml:space="preserve">Ergebnis: </w:t>
      </w:r>
      <w:r>
        <w:t>Jede Verdopplung von β-Hydroxybutyrat war mit 36,4% höherer Mortalität assoziiert (adjustierte HR 1,389; KI 1,150–1,677; p&lt;0,001). Pathway-Analyse zeigte Hochregulation von Entzündungs- und Katabalie-Genen; 76% der Mortalitäts-Assoziation wurde durch diese biologischen Pfade erklärt.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Niederländische-deutsche Multinationale Kohorte, europäische Biomarker-Standards</w:t>
      </w:r>
    </w:p>
    <w:p>
      <w:r>
        <w:rPr>
          <w:color w:val="5A7D3A"/>
          <w:sz w:val="18"/>
        </w:rPr>
        <w:t>https://pubmed.ncbi.nlm.nih.gov/42764375/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