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28.09.2026  |  6 Studien  |  kardio.m-vf.de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HFrEF-Medikamente nach Erholung von Vorhofflimmern-Kardiomyopathie sicher absetzbar</w:t>
      </w:r>
    </w:p>
    <w:p>
      <w:r>
        <w:rPr>
          <w:i/>
          <w:color w:val="666666"/>
          <w:sz w:val="18"/>
        </w:rPr>
        <w:t>Cho KK et al.  ·  Int J Cardiol  ·  27.09.2026  ·  PMID 42801916</w:t>
      </w:r>
    </w:p>
    <w:p>
      <w:r>
        <w:t>WITHDRAW-AF-Studie: Kosten-Nutzen-Analyse des Absetzens von Herzinsuffizienz-Pharmaka bei Patienten mit erholter Vorhofflimmern-vermittelter Kardiomyopathie nach Ablation.</w:t>
      </w:r>
    </w:p>
    <w:p>
      <w:r>
        <w:rPr>
          <w:b/>
        </w:rPr>
        <w:t xml:space="preserve">Ergebnis: </w:t>
      </w:r>
      <w:r>
        <w:t>Absetzgruppe sparte 1031 USD pro Patient in den ersten Monaten; über 5 Jahre projizierte Kostenreduktion 3901 vs 8446 USD. Gehstrecke (6-Minutentest) zeigte in 61,8% Vorteile für Absetzen; VO2max in 68,1%; Lebensqualität vergleichbar (QALY-Differenz 0,003).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Daten; Versorgungsmodell für spezialisierte Ablationszentren transferierbar</w:t>
      </w:r>
    </w:p>
    <w:p>
      <w:r>
        <w:rPr>
          <w:color w:val="5A7D3A"/>
          <w:sz w:val="18"/>
        </w:rPr>
        <w:t>https://pubmed.ncbi.nlm.nih.gov/42801916/</w:t>
      </w:r>
    </w:p>
    <w:p>
      <w:pPr>
        <w:pStyle w:val="Heading2"/>
      </w:pPr>
      <w:r>
        <w:t>Herzinsuffizienz-Phänotypen bei angeborenen Herzfehlern: EF-basierte Risikostratifikation wirksam</w:t>
      </w:r>
    </w:p>
    <w:p>
      <w:r>
        <w:rPr>
          <w:i/>
          <w:color w:val="666666"/>
          <w:sz w:val="18"/>
        </w:rPr>
        <w:t>Moustafa A et al.  ·  Am Heart J  ·  26.09.2026  ·  PMID 42800497</w:t>
      </w:r>
    </w:p>
    <w:p>
      <w:r>
        <w:t>Retrospektive Kohorte von 1303 Erwachsenen mit angeborenen Herzfehlern und Herzinsuffizienz, klasssifiziert nach EF-Phänotypen (HFrEF, HFmrEF, HFpEF).</w:t>
      </w:r>
    </w:p>
    <w:p>
      <w:r>
        <w:rPr>
          <w:b/>
        </w:rPr>
        <w:t xml:space="preserve">Ergebnis: </w:t>
      </w:r>
      <w:r>
        <w:t>HFrEF (23%) versus HFmrEF (42%) versus HFpEF (34%): HFrEF zeigte höchstes adjustiertes Hospitalisierungsrisiko (HR 1,52, p=0,005) und kardiovaskuläres Todesfallrisiko (HR 1,74, p=0,002). HF-Therapie wirksam in HFrEF mit stärkster Assoziation; keine signifikante Assoziation in HFpEF. Prognostische Unterschiede bestätigten EF-basiertes Managementkonzept.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US-Zentrum; EF-Phänotypisierung international etabliert und in Deutschland anwendbar</w:t>
      </w:r>
    </w:p>
    <w:p>
      <w:r>
        <w:rPr>
          <w:color w:val="5A7D3A"/>
          <w:sz w:val="18"/>
        </w:rPr>
        <w:t>https://pubmed.ncbi.nlm.nih.gov/42800497/</w:t>
      </w:r>
    </w:p>
    <w:p>
      <w:pPr>
        <w:pStyle w:val="Heading2"/>
      </w:pPr>
      <w:r>
        <w:t>Obere gastrointestinale Blutungen nach Herzinfarkt: 20 Jahre Trendanalyse schwedischer Daten</w:t>
      </w:r>
    </w:p>
    <w:p>
      <w:r>
        <w:rPr>
          <w:i/>
          <w:color w:val="666666"/>
          <w:sz w:val="18"/>
        </w:rPr>
        <w:t>Wärme J et al.  ·  Eur J Prev Cardiol  ·  26.09.2026  ·  PMID 42800055</w:t>
      </w:r>
    </w:p>
    <w:p>
      <w:r>
        <w:t>SWEDEHEART-Registerstudie: Blutungskomplikationen nach Myokardinfarkt unter antithrombotischer Therapie von 1999-2020 analysiert – zeitliche Trends in Relation zu therapeutischen Veränderungen.</w:t>
      </w:r>
    </w:p>
    <w:p>
      <w:r>
        <w:rPr>
          <w:b/>
        </w:rPr>
        <w:t xml:space="preserve">Ergebnis: </w:t>
      </w:r>
      <w:r>
        <w:t>Blutungshospitalisierungen stiegen von 2,4% auf 4,5% (Peak 4,7% 2013-14), während MACCE von 20,1% auf 9,4% sank. Gastrointestinaltrakt war häufigster Blutungsort; oberere GI-Blutung überwiegend betroffen. Trends korrelieren mit intensivierter Antithrombose und invasiven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Gesundheitssystem; Ergebnisse auf deutsche Hochrisikogruppen mit Polymedikation relevant</w:t>
      </w:r>
    </w:p>
    <w:p>
      <w:r>
        <w:rPr>
          <w:color w:val="5A7D3A"/>
          <w:sz w:val="18"/>
        </w:rPr>
        <w:t>https://pubmed.ncbi.nlm.nih.gov/42800055/</w:t>
      </w:r>
    </w:p>
    <w:p>
      <w:pPr>
        <w:pStyle w:val="Heading2"/>
      </w:pPr>
      <w:r>
        <w:t>Native-T1-Wert ersetzt Gadolinium-Kontrastmittel in ATTR-Amyloidose-Diagnostik</w:t>
      </w:r>
    </w:p>
    <w:p>
      <w:r>
        <w:rPr>
          <w:i/>
          <w:color w:val="666666"/>
          <w:sz w:val="18"/>
        </w:rPr>
        <w:t>Aimo A et al.  ·  JACC Cardiovasc Imaging  ·  24.09.2026  ·  PMID 42799727</w:t>
      </w:r>
    </w:p>
    <w:p>
      <w:r>
        <w:t>Beobachtungsstudie an 1675 ATTR-Patienten: Nativer T1-Wert als kontrastmittelfreier CMR-Marker für Amyloidinfiltration zur Diagnose und Risikostratifikation.</w:t>
      </w:r>
    </w:p>
    <w:p>
      <w:r>
        <w:rPr>
          <w:b/>
        </w:rPr>
        <w:t xml:space="preserve">Ergebnis: </w:t>
      </w:r>
      <w:r>
        <w:t>Native T1 ≤1050 ms zeigte 93% Sensitivität und 84% Spezifität für Ausschluss kardialen Befalls; T1 ≥1100 ms zeigte 75% Sensitivität und 88% Spezifität für manifeste Erkrankung. Kalibriert gegen Extrazellularvolumen: Stepwise 3-Jahres-Mortalitäts-Gradient mit Plateauing bei hohen T1-Werten.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UK-Referenzzentrum; Methode weltweit übertragbar, benötigt aber lokale Kalibrierung</w:t>
      </w:r>
    </w:p>
    <w:p>
      <w:r>
        <w:rPr>
          <w:color w:val="5A7D3A"/>
          <w:sz w:val="18"/>
        </w:rPr>
        <w:t>https://pubmed.ncbi.nlm.nih.gov/42799727/</w:t>
      </w:r>
    </w:p>
    <w:p>
      <w:pPr>
        <w:pStyle w:val="Heading2"/>
      </w:pPr>
      <w:r>
        <w:t>Vorhofflimmern und koronare Krankheit: Interaktionen, Risiken und therapeutische Integration</w:t>
      </w:r>
    </w:p>
    <w:p>
      <w:r>
        <w:rPr>
          <w:i/>
          <w:color w:val="666666"/>
          <w:sz w:val="18"/>
        </w:rPr>
        <w:t>Verburg A et al.  ·  Heart  ·  24.09.2026  ·  PMID 42785754</w:t>
      </w:r>
    </w:p>
    <w:p>
      <w:r>
        <w:t>Narrative Review zur Epidemiologie, Pathophysiologie und Diagnostik von kombiniertem Vorhofflimmern und koronarer Artery-Disease sowie integrierten Managementstrategien für Antithrombose, Rhythmuskontrolle und Ischämietherapie.</w:t>
      </w:r>
    </w:p>
    <w:p>
      <w:r>
        <w:rPr>
          <w:b/>
        </w:rPr>
        <w:t xml:space="preserve">Ergebnis: </w:t>
      </w:r>
      <w:r>
        <w:t>Ko-Vorliegen schafft High-Risk-Phänotyp mit höheren Raten Schlaganfall, ACS, Herzinsuffizienz und Mortalität als Monoerkrankung. Bidirektionale Pathophysiologie: AF verschärft myokardiale Ischämie und Endotheldysfunktion; KHK fördert atriale Umgestaltung. Review fasst Evidenz zur integrierten therapeutischen Entscheidungsfindung bei antithrombotischer Intensität, Rate- vs. Rhythmuskontrolle und Ischämiebewältigung zusammen.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Niederländisch-dänische Autorengruppe; europäische Versorgungsperspektive vollständig auf Deutschland übertragbar</w:t>
      </w:r>
    </w:p>
    <w:p>
      <w:r>
        <w:rPr>
          <w:color w:val="5A7D3A"/>
          <w:sz w:val="18"/>
        </w:rPr>
        <w:t>https://pubmed.ncbi.nlm.nih.gov/42785754/</w:t>
      </w:r>
    </w:p>
    <w:p>
      <w:pPr>
        <w:pStyle w:val="Heading2"/>
      </w:pPr>
      <w:r>
        <w:t>Programmierte Ventrikelstimulation stratifiziert Plötzliche-Tode-Risiko bei erhaltener Ejektionsfraktion</w:t>
      </w:r>
    </w:p>
    <w:p>
      <w:r>
        <w:rPr>
          <w:i/>
          <w:color w:val="666666"/>
          <w:sz w:val="18"/>
        </w:rPr>
        <w:t>Gardziejczyk P et al.  ·  JACC Clin Electrophysiol  ·  16.09.2026  ·  PMID 42776090</w:t>
      </w:r>
    </w:p>
    <w:p>
      <w:r>
        <w:t>Prospektive Studie an 182 Patienten mit nichtischämischer Kardiomyopathie, EMV-Narbennachweis und LVEF ≥40%: Prognostischer Wert der programmierten Ventrikelstimulation für Arrhythmieereignisse.</w:t>
      </w:r>
    </w:p>
    <w:p>
      <w:r>
        <w:rPr>
          <w:b/>
        </w:rPr>
        <w:t xml:space="preserve">Ergebnis: </w:t>
      </w:r>
      <w:r>
        <w:t>PVS positiv in 45 (25%): Majorale arrhythmische Ereignisse in 29% versus PVS-negativ 1,5% (p&lt;0,001). Negative Vorhersagekraft 98,5%. Zusätzliche Prädiktoren: multifokale PVCs (HR 6,6), Familiengeschichte (HR 16,7), QRS ≥100 ms (HR 5,2), LVEF ≤50% (HR 4,4). Kombinierter Score zeigte C-Statistik 0,892.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US-Tertiärzentrum; Methodik relevant für ICD-Indikationserstellung bei Borderline-EF</w:t>
      </w:r>
    </w:p>
    <w:p>
      <w:r>
        <w:rPr>
          <w:color w:val="5A7D3A"/>
          <w:sz w:val="18"/>
        </w:rPr>
        <w:t>https://pubmed.ncbi.nlm.nih.gov/42776090/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