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17.09.2026  |  6 Studien  |  kardio.m-vf.de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Geh-Tempo ist stärkster Marker für Prognose nach Herzinfarkt in kardialer Rehabilitation älterer Patienten</w:t>
      </w:r>
    </w:p>
    <w:p>
      <w:r>
        <w:rPr>
          <w:i/>
          <w:color w:val="666666"/>
          <w:sz w:val="18"/>
        </w:rPr>
        <w:t>Raisi A et al.  ·  Eur J Prev Cardiol  ·  16.09.2026  ·  PMID 42748164</w:t>
      </w:r>
    </w:p>
    <w:p>
      <w:r>
        <w:t>Prespecified Subanalyse der PIpELINe-Studie an 512 Patienten ≥65 Jahre mit Herzinfarkt (mittlerer SPPB-Score 4–9): Multidomain-Rehabilitation versus Standardversorgung mit 1-Jahres-Nachsorge.</w:t>
      </w:r>
    </w:p>
    <w:p>
      <w:r>
        <w:rPr>
          <w:b/>
        </w:rPr>
        <w:t xml:space="preserve">Ergebnis: </w:t>
      </w:r>
      <w:r>
        <w:t>Primärer Endpunkt (kardiovaskulärer Tod/ungeplante kardiovaskuläre Hospitalisierung) bei niedrigerem SPPB signifikant häufiger (HR 0,51; 95%-KI 0,32–0,82). Gehgeschwindigkeit einzeln war stärkster Marker: 50 % Risikoreduktion pro 1-Punkt-Verbesserung (HR 0,50; 95%-KI 0,37–0,68; p&lt;0,001). Multidomain-Rehabilitation zeigte konsistenten Nutzen unabhängig von SPPB-Level.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Italienisch-deutsche Versorgungsstudie; einfaches Screening-Tool für Rehabilitation in Deutschland anwendbar.</w:t>
      </w:r>
    </w:p>
    <w:p>
      <w:r>
        <w:rPr>
          <w:color w:val="5A7D3A"/>
          <w:sz w:val="18"/>
        </w:rPr>
        <w:t>https://pubmed.ncbi.nlm.nih.gov/42748164/</w:t>
      </w:r>
    </w:p>
    <w:p>
      <w:pPr>
        <w:pStyle w:val="Heading2"/>
      </w:pPr>
      <w:r>
        <w:t>NT-proBNP und LVEDP in HFpEF häufig diskordant; Mortalitätsrisiko erhöht nur bei Elevation beider Parameter</w:t>
      </w:r>
    </w:p>
    <w:p>
      <w:r>
        <w:rPr>
          <w:i/>
          <w:color w:val="666666"/>
          <w:sz w:val="18"/>
        </w:rPr>
        <w:t>Güder G et al.  ·  Heart  ·  15.09.2026  ·  PMID 42744605</w:t>
      </w:r>
    </w:p>
    <w:p>
      <w:r>
        <w:t>Prospektive Kohortenstudie an 514 Patienten mit vermuteter HFpEF: Blutentnahme auf NT-proBNP und invasive Messung des linksventrikulären enddiastolischen Drucks erfolgte bei Herzkatheteruntersuchung gleichzeitig.</w:t>
      </w:r>
    </w:p>
    <w:p>
      <w:r>
        <w:rPr>
          <w:b/>
        </w:rPr>
        <w:t xml:space="preserve">Ergebnis: </w:t>
      </w:r>
      <w:r>
        <w:t>Diskordanz zwischen NT-proBNP und LVEDP war häufig (42 %). Adjustierte Mortalität war erhöht bei isolierter NT-proBNP-Elevation (HR 2,26; 95%-KI 1,02–5,01) und bei Elevation beider Parameter (HR 3,33; 95%-KI 1,54–7,20), nicht aber bei isolierter LVEDP-Elevation (HR 1,34; 95%-KI 0,45–4,02). Dies unterstreicht, dass beide Parameter komplementäre Informationen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Universitätskliniken; direkte invasive Diagnostik ändert Strategie bei vermuteter HFpEF.</w:t>
      </w:r>
    </w:p>
    <w:p>
      <w:r>
        <w:rPr>
          <w:color w:val="5A7D3A"/>
          <w:sz w:val="18"/>
        </w:rPr>
        <w:t>https://pubmed.ncbi.nlm.nih.gov/42744605/</w:t>
      </w:r>
    </w:p>
    <w:p>
      <w:pPr>
        <w:pStyle w:val="Heading2"/>
      </w:pPr>
      <w:r>
        <w:t>Blutkultur-Epidemiologie weist auf Lücken in Endokarditis-Screening hin: Risiko unterschätzt bei Gruppierung seltener Spezies</w:t>
      </w:r>
    </w:p>
    <w:p>
      <w:r>
        <w:rPr>
          <w:i/>
          <w:color w:val="666666"/>
          <w:sz w:val="18"/>
        </w:rPr>
        <w:t>De Oliveira EK et al.  ·  Open Heart  ·  15.09.2026  ·  PMID 42744415</w:t>
      </w:r>
    </w:p>
    <w:p>
      <w:r>
        <w:t>Single-Center-Registerstudie (2015–2021) an 4.242 Patienten/3.708 Admission mit 4.939 Blutkultur-Infektionen: Erfassung aller BSI und Auswertung ihres Anteils an definierter Infektive Endokarditis und Echokardiographie-Screening-Raten.</w:t>
      </w:r>
    </w:p>
    <w:p>
      <w:r>
        <w:rPr>
          <w:b/>
        </w:rPr>
        <w:t xml:space="preserve">Ergebnis: </w:t>
      </w:r>
      <w:r>
        <w:t>IE-Prävalenz aller BSI 2,7 %. Höchste IE-Anteile bei seltenen Pathogenen: Streptococcus bovis 19,2 %, Listeria monocytogenes 16,7 %. Häufigere (Enterobacterales 48,3 %, Staph aureus 11,5 %) zeigten niedrigere IE-Raten. Patienten mit Implantat 5-fach höhere IE-Prävalenz. Echokardiographie-Screening 75 % für S. aureus, 27–59 % für andere Spezies ohne 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Belgisch-italienisches Universitätsklinikum; Systematik auf deutsche Endokarditis-Screening-Protokolle anwendbar.</w:t>
      </w:r>
    </w:p>
    <w:p>
      <w:r>
        <w:rPr>
          <w:color w:val="5A7D3A"/>
          <w:sz w:val="18"/>
        </w:rPr>
        <w:t>https://pubmed.ncbi.nlm.nih.gov/42744415/</w:t>
      </w:r>
    </w:p>
    <w:p>
      <w:pPr>
        <w:pStyle w:val="Heading2"/>
      </w:pPr>
      <w:r>
        <w:t>Spezialisierte Krankenpfleger in Notaufnahme erzielen 92,7 % Genauigkeit beim Akutinfarkt-Screening</w:t>
      </w:r>
    </w:p>
    <w:p>
      <w:r>
        <w:rPr>
          <w:i/>
          <w:color w:val="666666"/>
          <w:sz w:val="18"/>
        </w:rPr>
        <w:t>Shaw C et al.  ·  Open Heart  ·  15.09.2026  ·  PMID 42744414</w:t>
      </w:r>
    </w:p>
    <w:p>
      <w:r>
        <w:t>Britischer Distrikt-Klinik-Evaluationsstudie an 233 Patienten: Vergleich zwischen Diagnosen von Cardiac-Outreach-Practitioners (Spezialkrankenpflegern) außerhalb normaler Geschäftszeiten und finalen Entlassungsdiagnosen durch Kardiologen.</w:t>
      </w:r>
    </w:p>
    <w:p>
      <w:r>
        <w:rPr>
          <w:b/>
        </w:rPr>
        <w:t xml:space="preserve">Ergebnis: </w:t>
      </w:r>
      <w:r>
        <w:t>Exakte diagnostische Konkordanz 92,7 % (216/233). Für akutes Koronarsyndrom: Sensitivität 96,0 %, Spezifität 92,4 %, negativ-prädiktiver Wert 98,0 %, Cohen κ = 0,858 (95%-KI 0,789–0,927). Von 17 diskordanten Fällen führte keine zu verzögerter Eskalation oder Diagnostik.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National Health Service-Daten; Modell auf strukturierte Versorgungspfade in Deutschland anwendbar.</w:t>
      </w:r>
    </w:p>
    <w:p>
      <w:r>
        <w:rPr>
          <w:color w:val="5A7D3A"/>
          <w:sz w:val="18"/>
        </w:rPr>
        <w:t>https://pubmed.ncbi.nlm.nih.gov/42744414/</w:t>
      </w:r>
    </w:p>
    <w:p>
      <w:pPr>
        <w:pStyle w:val="Heading2"/>
      </w:pPr>
      <w:r>
        <w:t>Gen-Silencer Eplontersen wirksam nur ohne parallele TTR-Stabilisator-Therapie bei ATTR-Kardiomyopathie</w:t>
      </w:r>
    </w:p>
    <w:p>
      <w:r>
        <w:rPr>
          <w:i/>
          <w:color w:val="666666"/>
          <w:sz w:val="18"/>
        </w:rPr>
        <w:t>García-Pavía P et al.  ·  Nat Med  ·  30.08.2026  ·  PMID 42742182</w:t>
      </w:r>
    </w:p>
    <w:p>
      <w:r>
        <w:t>Präspezifizierte Sekundäranalyse der Phase-3-Studie CARDIO-TTRansform (n=1.432 ATTR-Kardiomyopathie-Patienten): Randomisierung zu Eplontersen oder Placebo; 57 % unter basaler TTR-Stabilisator-Therapie.</w:t>
      </w:r>
    </w:p>
    <w:p>
      <w:r>
        <w:rPr>
          <w:b/>
        </w:rPr>
        <w:t xml:space="preserve">Ergebnis: </w:t>
      </w:r>
      <w:r>
        <w:t>Primärer Endpunkt (kardiovaskulärer Tod oder rekurrente kardiovaskuläre Ereignisse) zeigte Behandlungs-Wechselwirkung nach Stabilisator-Status (P=0,017). Vorteil ohne Stabilisator (RR 0,71; 95%-KI 0,54–0,93; p=0,012), kein Vorteil mit Stabilisator (RR 1,14; 95%-KI 0,85–1,53; p=0,39). Sicherheitsprofil in beiden Gruppen günstig.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Phase-3-Studie; Therapie in Deutschland verordnungsfähig, Ergebnis steuert Kombinationsentscheidungen.</w:t>
      </w:r>
    </w:p>
    <w:p>
      <w:r>
        <w:rPr>
          <w:color w:val="5A7D3A"/>
          <w:sz w:val="18"/>
        </w:rPr>
        <w:t>https://pubmed.ncbi.nlm.nih.gov/42742182/</w:t>
      </w:r>
    </w:p>
    <w:p>
      <w:pPr>
        <w:pStyle w:val="Heading2"/>
      </w:pPr>
      <w:r>
        <w:t>RBM20-Gain-of-Function-Varianten verschlechtern Mitochondrienfunktion und Herzinsuffizienz-Phänotyp</w:t>
      </w:r>
    </w:p>
    <w:p>
      <w:r>
        <w:rPr>
          <w:i/>
          <w:color w:val="666666"/>
          <w:sz w:val="18"/>
        </w:rPr>
        <w:t>Kornienko J et al.  ·  Circulation  ·  15.09.2026  ·  PMID 42741825</w:t>
      </w:r>
    </w:p>
    <w:p>
      <w:r>
        <w:t>Mechanistische Studie bei Mausmodellen mit RBM20-Varianten und humanen induzierten pluripotenten Stammzell-Kardiomyten: Untersuchung der Auswirkung auf Mitochondrial Respiration, Calcium-Handling und ultrastrukturelle Veränderungen.</w:t>
      </w:r>
    </w:p>
    <w:p>
      <w:r>
        <w:rPr>
          <w:b/>
        </w:rPr>
        <w:t xml:space="preserve">Ergebnis: </w:t>
      </w:r>
      <w:r>
        <w:t>RBM20 Gain-of-Function, nicht Loss-of-Function, senkte lösliche Mitochondrienproteine und das Kalzium-Efflux-Regulator TMEM65, führte zu vergrößerten Mitochondrien mit Cristae-Desorganisation, verminderter oxidativer Phosphorylierung und abnormaler Kalzium-Handling. Befunde in humanen Kardiomyten reproduziert.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DZHK-Zentren; Mechanismus erklärt aggressive HF-Phänotypen bei GoF-Varianten.</w:t>
      </w:r>
    </w:p>
    <w:p>
      <w:r>
        <w:rPr>
          <w:color w:val="5A7D3A"/>
          <w:sz w:val="18"/>
        </w:rPr>
        <w:t>https://pubmed.ncbi.nlm.nih.gov/42741825/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