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Kardiologie</w:t>
      </w:r>
    </w:p>
    <w:p>
      <w:r>
        <w:rPr>
          <w:i/>
          <w:color w:val="666666"/>
          <w:sz w:val="18"/>
        </w:rPr>
        <w:t>Stand: 17.09.2026  |  39 Studien  |  kardio.m-vf.de</w:t>
      </w:r>
    </w:p>
    <w:p>
      <w:pPr>
        <w:pStyle w:val="Heading1"/>
      </w:pPr>
      <w:r>
        <w:t>Aufgenommen am 17.09.2026</w:t>
      </w:r>
    </w:p>
    <w:p>
      <w:pPr>
        <w:pStyle w:val="Heading2"/>
      </w:pPr>
      <w:r>
        <w:t>Geh-Tempo ist stärkster Marker für Prognose nach Herzinfarkt in kardialer Rehabilitation älterer Patienten</w:t>
      </w:r>
    </w:p>
    <w:p>
      <w:r>
        <w:rPr>
          <w:i/>
          <w:color w:val="666666"/>
          <w:sz w:val="18"/>
        </w:rPr>
        <w:t>Raisi A et al.  ·  Eur J Prev Cardiol  ·  16.09.2026  ·  PMID 42748164</w:t>
      </w:r>
    </w:p>
    <w:p>
      <w:r>
        <w:t>Prespecified Subanalyse der PIpELINe-Studie an 512 Patienten ≥65 Jahre mit Herzinfarkt (mittlerer SPPB-Score 4–9): Multidomain-Rehabilitation versus Standardversorgung mit 1-Jahres-Nachsorge.</w:t>
      </w:r>
    </w:p>
    <w:p>
      <w:r>
        <w:rPr>
          <w:b/>
        </w:rPr>
        <w:t xml:space="preserve">Ergebnis: </w:t>
      </w:r>
      <w:r>
        <w:t>Primärer Endpunkt (kardiovaskulärer Tod/ungeplante kardiovaskuläre Hospitalisierung) bei niedrigerem SPPB signifikant häufiger (HR 0,51; 95%-KI 0,32–0,82). Gehgeschwindigkeit einzeln war stärkster Marker: 50 % Risikoreduktion pro 1-Punkt-Verbesserung (HR 0,50; 95%-KI 0,37–0,68; p&lt;0,001). Multidomain-Rehabilitation zeigte konsistenten Nutzen unabhängig von SPPB-Level.</w:t>
      </w:r>
    </w:p>
    <w:p>
      <w:r>
        <w:rPr>
          <w:b/>
          <w:sz w:val="19"/>
        </w:rPr>
        <w:t xml:space="preserve">Übertragbarkeit: </w:t>
      </w:r>
      <w:r>
        <w:rPr>
          <w:sz w:val="19"/>
        </w:rPr>
        <w:t>Italienisch-deutsche Versorgungsstudie; einfaches Screening-Tool für Rehabilitation in Deutschland anwendbar.</w:t>
      </w:r>
    </w:p>
    <w:p>
      <w:r>
        <w:rPr>
          <w:color w:val="5A7D3A"/>
          <w:sz w:val="18"/>
        </w:rPr>
        <w:t>https://pubmed.ncbi.nlm.nih.gov/42748164/</w:t>
      </w:r>
    </w:p>
    <w:p>
      <w:pPr>
        <w:pStyle w:val="Heading2"/>
      </w:pPr>
      <w:r>
        <w:t>NT-proBNP und LVEDP in HFpEF häufig diskordant; Mortalitätsrisiko erhöht nur bei Elevation beider Parameter</w:t>
      </w:r>
    </w:p>
    <w:p>
      <w:r>
        <w:rPr>
          <w:i/>
          <w:color w:val="666666"/>
          <w:sz w:val="18"/>
        </w:rPr>
        <w:t>Güder G et al.  ·  Heart  ·  15.09.2026  ·  PMID 42744605</w:t>
      </w:r>
    </w:p>
    <w:p>
      <w:r>
        <w:t>Prospektive Kohortenstudie an 514 Patienten mit vermuteter HFpEF: Blutentnahme auf NT-proBNP und invasive Messung des linksventrikulären enddiastolischen Drucks erfolgte bei Herzkatheteruntersuchung gleichzeitig.</w:t>
      </w:r>
    </w:p>
    <w:p>
      <w:r>
        <w:rPr>
          <w:b/>
        </w:rPr>
        <w:t xml:space="preserve">Ergebnis: </w:t>
      </w:r>
      <w:r>
        <w:t>Diskordanz zwischen NT-proBNP und LVEDP war häufig (42 %). Adjustierte Mortalität war erhöht bei isolierter NT-proBNP-Elevation (HR 2,26; 95%-KI 1,02–5,01) und bei Elevation beider Parameter (HR 3,33; 95%-KI 1,54–7,20), nicht aber bei isolierter LVEDP-Elevation (HR 1,34; 95%-KI 0,45–4,02). Dies unterstreicht, dass beide Parameter komplementäre Informationen liefern.</w:t>
      </w:r>
    </w:p>
    <w:p>
      <w:r>
        <w:rPr>
          <w:b/>
          <w:sz w:val="19"/>
        </w:rPr>
        <w:t xml:space="preserve">Übertragbarkeit: </w:t>
      </w:r>
      <w:r>
        <w:rPr>
          <w:sz w:val="19"/>
        </w:rPr>
        <w:t>Deutsche Universitätskliniken; direkte invasive Diagnostik ändert Strategie bei vermuteter HFpEF.</w:t>
      </w:r>
    </w:p>
    <w:p>
      <w:r>
        <w:rPr>
          <w:color w:val="5A7D3A"/>
          <w:sz w:val="18"/>
        </w:rPr>
        <w:t>https://pubmed.ncbi.nlm.nih.gov/42744605/</w:t>
      </w:r>
    </w:p>
    <w:p>
      <w:pPr>
        <w:pStyle w:val="Heading2"/>
      </w:pPr>
      <w:r>
        <w:t>Blutkultur-Epidemiologie weist auf Lücken in Endokarditis-Screening hin: Risiko unterschätzt bei Gruppierung seltener Spezies</w:t>
      </w:r>
    </w:p>
    <w:p>
      <w:r>
        <w:rPr>
          <w:i/>
          <w:color w:val="666666"/>
          <w:sz w:val="18"/>
        </w:rPr>
        <w:t>De Oliveira EK et al.  ·  Open Heart  ·  15.09.2026  ·  PMID 42744415</w:t>
      </w:r>
    </w:p>
    <w:p>
      <w:r>
        <w:t>Single-Center-Registerstudie (2015–2021) an 4.242 Patienten/3.708 Admission mit 4.939 Blutkultur-Infektionen: Erfassung aller BSI und Auswertung ihres Anteils an definierter Infektive Endokarditis und Echokardiographie-Screening-Raten.</w:t>
      </w:r>
    </w:p>
    <w:p>
      <w:r>
        <w:rPr>
          <w:b/>
        </w:rPr>
        <w:t xml:space="preserve">Ergebnis: </w:t>
      </w:r>
      <w:r>
        <w:t>IE-Prävalenz aller BSI 2,7 %. Höchste IE-Anteile bei seltenen Pathogenen: Streptococcus bovis 19,2 %, Listeria monocytogenes 16,7 %. Häufigere (Enterobacterales 48,3 %, Staph aureus 11,5 %) zeigten niedrigere IE-Raten. Patienten mit Implantat 5-fach höhere IE-Prävalenz. Echokardiographie-Screening 75 % für S. aureus, 27–59 % für andere Spezies ohne IE.</w:t>
      </w:r>
    </w:p>
    <w:p>
      <w:r>
        <w:rPr>
          <w:b/>
          <w:sz w:val="19"/>
        </w:rPr>
        <w:t xml:space="preserve">Übertragbarkeit: </w:t>
      </w:r>
      <w:r>
        <w:rPr>
          <w:sz w:val="19"/>
        </w:rPr>
        <w:t>Belgisch-italienisches Universitätsklinikum; Systematik auf deutsche Endokarditis-Screening-Protokolle anwendbar.</w:t>
      </w:r>
    </w:p>
    <w:p>
      <w:r>
        <w:rPr>
          <w:color w:val="5A7D3A"/>
          <w:sz w:val="18"/>
        </w:rPr>
        <w:t>https://pubmed.ncbi.nlm.nih.gov/42744415/</w:t>
      </w:r>
    </w:p>
    <w:p>
      <w:pPr>
        <w:pStyle w:val="Heading2"/>
      </w:pPr>
      <w:r>
        <w:t>Spezialisierte Krankenpfleger in Notaufnahme erzielen 92,7 % Genauigkeit beim Akutinfarkt-Screening</w:t>
      </w:r>
    </w:p>
    <w:p>
      <w:r>
        <w:rPr>
          <w:i/>
          <w:color w:val="666666"/>
          <w:sz w:val="18"/>
        </w:rPr>
        <w:t>Shaw C et al.  ·  Open Heart  ·  15.09.2026  ·  PMID 42744414</w:t>
      </w:r>
    </w:p>
    <w:p>
      <w:r>
        <w:t>Britischer Distrikt-Klinik-Evaluationsstudie an 233 Patienten: Vergleich zwischen Diagnosen von Cardiac-Outreach-Practitioners (Spezialkrankenpflegern) außerhalb normaler Geschäftszeiten und finalen Entlassungsdiagnosen durch Kardiologen.</w:t>
      </w:r>
    </w:p>
    <w:p>
      <w:r>
        <w:rPr>
          <w:b/>
        </w:rPr>
        <w:t xml:space="preserve">Ergebnis: </w:t>
      </w:r>
      <w:r>
        <w:t>Exakte diagnostische Konkordanz 92,7 % (216/233). Für akutes Koronarsyndrom: Sensitivität 96,0 %, Spezifität 92,4 %, negativ-prädiktiver Wert 98,0 %, Cohen κ = 0,858 (95%-KI 0,789–0,927). Von 17 diskordanten Fällen führte keine zu verzögerter Eskalation oder Diagnostik.</w:t>
      </w:r>
    </w:p>
    <w:p>
      <w:r>
        <w:rPr>
          <w:b/>
          <w:sz w:val="19"/>
        </w:rPr>
        <w:t xml:space="preserve">Übertragbarkeit: </w:t>
      </w:r>
      <w:r>
        <w:rPr>
          <w:sz w:val="19"/>
        </w:rPr>
        <w:t>UK National Health Service-Daten; Modell auf strukturierte Versorgungspfade in Deutschland anwendbar.</w:t>
      </w:r>
    </w:p>
    <w:p>
      <w:r>
        <w:rPr>
          <w:color w:val="5A7D3A"/>
          <w:sz w:val="18"/>
        </w:rPr>
        <w:t>https://pubmed.ncbi.nlm.nih.gov/42744414/</w:t>
      </w:r>
    </w:p>
    <w:p>
      <w:pPr>
        <w:pStyle w:val="Heading2"/>
      </w:pPr>
      <w:r>
        <w:t>Gen-Silencer Eplontersen wirksam nur ohne parallele TTR-Stabilisator-Therapie bei ATTR-Kardiomyopathie</w:t>
      </w:r>
    </w:p>
    <w:p>
      <w:r>
        <w:rPr>
          <w:i/>
          <w:color w:val="666666"/>
          <w:sz w:val="18"/>
        </w:rPr>
        <w:t>García-Pavía P et al.  ·  Nat Med  ·  30.08.2026  ·  PMID 42742182</w:t>
      </w:r>
    </w:p>
    <w:p>
      <w:r>
        <w:t>Präspezifizierte Sekundäranalyse der Phase-3-Studie CARDIO-TTRansform (n=1.432 ATTR-Kardiomyopathie-Patienten): Randomisierung zu Eplontersen oder Placebo; 57 % unter basaler TTR-Stabilisator-Therapie.</w:t>
      </w:r>
    </w:p>
    <w:p>
      <w:r>
        <w:rPr>
          <w:b/>
        </w:rPr>
        <w:t xml:space="preserve">Ergebnis: </w:t>
      </w:r>
      <w:r>
        <w:t>Primärer Endpunkt (kardiovaskulärer Tod oder rekurrente kardiovaskuläre Ereignisse) zeigte Behandlungs-Wechselwirkung nach Stabilisator-Status (P=0,017). Vorteil ohne Stabilisator (RR 0,71; 95%-KI 0,54–0,93; p=0,012), kein Vorteil mit Stabilisator (RR 1,14; 95%-KI 0,85–1,53; p=0,39). Sicherheitsprofil in beiden Gruppen günstig.</w:t>
      </w:r>
    </w:p>
    <w:p>
      <w:r>
        <w:rPr>
          <w:b/>
          <w:sz w:val="19"/>
        </w:rPr>
        <w:t xml:space="preserve">Übertragbarkeit: </w:t>
      </w:r>
      <w:r>
        <w:rPr>
          <w:sz w:val="19"/>
        </w:rPr>
        <w:t>Internationale Phase-3-Studie; Therapie in Deutschland verordnungsfähig, Ergebnis steuert Kombinationsentscheidungen.</w:t>
      </w:r>
    </w:p>
    <w:p>
      <w:r>
        <w:rPr>
          <w:color w:val="5A7D3A"/>
          <w:sz w:val="18"/>
        </w:rPr>
        <w:t>https://pubmed.ncbi.nlm.nih.gov/42742182/</w:t>
      </w:r>
    </w:p>
    <w:p>
      <w:pPr>
        <w:pStyle w:val="Heading2"/>
      </w:pPr>
      <w:r>
        <w:t>RBM20-Gain-of-Function-Varianten verschlechtern Mitochondrienfunktion und Herzinsuffizienz-Phänotyp</w:t>
      </w:r>
    </w:p>
    <w:p>
      <w:r>
        <w:rPr>
          <w:i/>
          <w:color w:val="666666"/>
          <w:sz w:val="18"/>
        </w:rPr>
        <w:t>Kornienko J et al.  ·  Circulation  ·  15.09.2026  ·  PMID 42741825</w:t>
      </w:r>
    </w:p>
    <w:p>
      <w:r>
        <w:t>Mechanistische Studie bei Mausmodellen mit RBM20-Varianten und humanen induzierten pluripotenten Stammzell-Kardiomyten: Untersuchung der Auswirkung auf Mitochondrial Respiration, Calcium-Handling und ultrastrukturelle Veränderungen.</w:t>
      </w:r>
    </w:p>
    <w:p>
      <w:r>
        <w:rPr>
          <w:b/>
        </w:rPr>
        <w:t xml:space="preserve">Ergebnis: </w:t>
      </w:r>
      <w:r>
        <w:t>RBM20 Gain-of-Function, nicht Loss-of-Function, senkte lösliche Mitochondrienproteine und das Kalzium-Efflux-Regulator TMEM65, führte zu vergrößerten Mitochondrien mit Cristae-Desorganisation, verminderter oxidativer Phosphorylierung und abnormaler Kalzium-Handling. Befunde in humanen Kardiomyten reproduziert.</w:t>
      </w:r>
    </w:p>
    <w:p>
      <w:r>
        <w:rPr>
          <w:b/>
          <w:sz w:val="19"/>
        </w:rPr>
        <w:t xml:space="preserve">Übertragbarkeit: </w:t>
      </w:r>
      <w:r>
        <w:rPr>
          <w:sz w:val="19"/>
        </w:rPr>
        <w:t>Deutsche DZHK-Zentren; Mechanismus erklärt aggressive HF-Phänotypen bei GoF-Varianten.</w:t>
      </w:r>
    </w:p>
    <w:p>
      <w:r>
        <w:rPr>
          <w:color w:val="5A7D3A"/>
          <w:sz w:val="18"/>
        </w:rPr>
        <w:t>https://pubmed.ncbi.nlm.nih.gov/42741825/</w:t>
      </w:r>
    </w:p>
    <w:p>
      <w:pPr>
        <w:pStyle w:val="Heading1"/>
      </w:pPr>
      <w:r>
        <w:t>Aufgenommen am 16.09.2026</w:t>
      </w:r>
    </w:p>
    <w:p>
      <w:pPr>
        <w:pStyle w:val="Heading2"/>
      </w:pPr>
      <w:r>
        <w:t>Künstliche Intelligenz und Herzmuskel-Phänotypen vorhersagen Myokardinfarkt-Risiko in der Langzeitbeobachtung</w:t>
      </w:r>
    </w:p>
    <w:p>
      <w:r>
        <w:rPr>
          <w:i/>
          <w:color w:val="666666"/>
          <w:sz w:val="18"/>
        </w:rPr>
        <w:t>Eur Heart J Cardiovasc Imaging  ·  2026  ·  PMID 42721291</w:t>
      </w:r>
    </w:p>
    <w:p>
      <w:r>
        <w:t>Post-hoc-Analyse der SCOT-HEART-Studie mit 1.736 Teilnehmern untersuchte, ob radiomische Phänotypen aus Herz-CTA das Langzeit-Risiko für Herzinfarkt (Median 8,6 Jahre Follow-up) vorhersagen über konventionelle Risikofaktoren hinaus.</w:t>
      </w:r>
    </w:p>
    <w:p>
      <w:r>
        <w:rPr>
          <w:b/>
        </w:rPr>
        <w:t xml:space="preserve">Ergebnis: </w:t>
      </w:r>
      <w:r>
        <w:t>82 von 1.736 Teilnehmern (4,7%) erlebten während Follow-up tödlichen oder nicht-tödlichen Myokardinfarkt. Radiomische Phänotypen waren assoziiert mit Alter, Geschlecht, Hypertension und Diabetes (p&lt;0,01). Integration radiomischer Merkmale in klinisches Modell verbesserte Diskrimination für zukünftige Myokardinfarkte (C-Index von 0,693 auf 0,722, Δ=0,029, p&lt;0,001) und Modell-Fit (Likelihood-Ratio-Test χ²=13,5, p=0,009).</w:t>
      </w:r>
    </w:p>
    <w:p>
      <w:r>
        <w:rPr>
          <w:b/>
          <w:sz w:val="19"/>
        </w:rPr>
        <w:t xml:space="preserve">Übertragbarkeit: </w:t>
      </w:r>
      <w:r>
        <w:rPr>
          <w:sz w:val="19"/>
        </w:rPr>
        <w:t>Schottische Studie, vergleichbare europäische Gesundheitssysteme.</w:t>
      </w:r>
    </w:p>
    <w:p>
      <w:r>
        <w:rPr>
          <w:color w:val="5A7D3A"/>
          <w:sz w:val="18"/>
        </w:rPr>
        <w:t>https://pubmed.ncbi.nlm.nih.gov/42721291/</w:t>
      </w:r>
    </w:p>
    <w:p>
      <w:pPr>
        <w:pStyle w:val="Heading2"/>
      </w:pPr>
      <w:r>
        <w:t>LMNA-Genotyp und Vorhofflimmern-Risiko in genetischer Kardiomyopathie</w:t>
      </w:r>
    </w:p>
    <w:p>
      <w:r>
        <w:rPr>
          <w:i/>
          <w:color w:val="666666"/>
          <w:sz w:val="18"/>
        </w:rPr>
        <w:t>Circ Heart Fail  ·  2026  ·  PMID 42717878</w:t>
      </w:r>
    </w:p>
    <w:p>
      <w:r>
        <w:t>Beobachtungsstudie von 3.117 Patienten mit genetischer dilatativer Kardiomyopathie (DCM) aus der SHaRe-Registry untersuchte Prävalenz, Inzidenz und Prognosebedeutung von Vorhofflimmern nach Genotyp.</w:t>
      </w:r>
    </w:p>
    <w:p>
      <w:r>
        <w:rPr>
          <w:b/>
        </w:rPr>
        <w:t xml:space="preserve">Ergebnis: </w:t>
      </w:r>
      <w:r>
        <w:t>Von 2.491 AF-freien Patienten mit Follow-up entwickelten 312 (12,5%) während eines Medians von 4,5 Jahren Vorhofflimmern. Kumulative AF-Prävalenz betrug 23,6%. LMNA zeigte die höchste AF-Inzidenz (7,6 pro 100 Patientenjahre) und kumulative AF-Prävalenz (56,7%) und war die einzige Genotyp-Variable unabhängig assoziiert mit inzidentem AF (HR 5,52, 95% KI 3,84-7,95; p&lt;0,001). TTN hatte AF-Inzidenz von 2,1 pro 100 Patientenjahre. AF war unabhängig assoziiert mit erhöhtem Risiko für kombiniertes Endpunkt (HR 1,58, 95% KI 1,29-1,94; p&lt;0,001) einschließlich Herzinsuffizienz, ventrikuläre Arrhythmien und Gesamtsterblichkeit.</w:t>
      </w:r>
    </w:p>
    <w:p>
      <w:r>
        <w:rPr>
          <w:b/>
          <w:sz w:val="19"/>
        </w:rPr>
        <w:t xml:space="preserve">Übertragbarkeit: </w:t>
      </w:r>
      <w:r>
        <w:rPr>
          <w:sz w:val="19"/>
        </w:rPr>
        <w:t>Internationale Studie mit niederländischen/europäischen Zentren, vergleichbar mit deutschen Versorgungssystemen.</w:t>
      </w:r>
    </w:p>
    <w:p>
      <w:r>
        <w:rPr>
          <w:color w:val="5A7D3A"/>
          <w:sz w:val="18"/>
        </w:rPr>
        <w:t>https://pubmed.ncbi.nlm.nih.gov/42717878/</w:t>
      </w:r>
    </w:p>
    <w:p>
      <w:pPr>
        <w:pStyle w:val="Heading1"/>
      </w:pPr>
      <w:r>
        <w:t>Aufgenommen am 15.09.2026</w:t>
      </w:r>
    </w:p>
    <w:p>
      <w:pPr>
        <w:pStyle w:val="Heading2"/>
      </w:pPr>
      <w:r>
        <w:t>Klinische Verwaltung des Herzinfarkts: Revaskularisierung, Sekundärprävention und Umgang mit Hochrisiko-Gruppen</w:t>
      </w:r>
    </w:p>
    <w:p>
      <w:r>
        <w:rPr>
          <w:i/>
          <w:color w:val="666666"/>
          <w:sz w:val="18"/>
        </w:rPr>
        <w:t>Landi A et al.  ·  Circulation  ·  15.09.2026  ·  PMID 42735223</w:t>
      </w:r>
    </w:p>
    <w:p>
      <w:r>
        <w:t>Konsens-Review der zeitgenössischen Verwaltung des Herzinfarkts mit Fokus auf diagnostische Rahmenbedingungen, Risikostratifizierung, Revaskularisierungsstrategien (Timing, komplette Revaskularisierung) und Sekundärprävention, einschließlich MI ohne obstruktive Koronararterienerkrankung.</w:t>
      </w:r>
    </w:p>
    <w:p>
      <w:r>
        <w:rPr>
          <w:b/>
        </w:rPr>
        <w:t xml:space="preserve">Ergebnis: </w:t>
      </w:r>
      <w:r>
        <w:t>Das Review fasst aktuelle Evidenz zusammen: Protokollierte sofortige Reperfusion durch pPCI oder Fibrinolyse (wenn pPCI nicht innerhalb 120 Min verfügbar) reduzierte Mortalität substanziell. Adjunktive Pharmakotherapie und Sekundärprävention sind kritisch. Über 370.000 Todesfälle pro Jahr in USA trotz Fortschritten; viele Patienten erleben Rezidiv-Ereignisse trotz Risikofaktor-Kontrolle, was neue Ansätze zur post-MI-Komplikations-Vorbeugung motiviert.</w:t>
      </w:r>
    </w:p>
    <w:p>
      <w:r>
        <w:rPr>
          <w:b/>
          <w:sz w:val="19"/>
        </w:rPr>
        <w:t xml:space="preserve">Übertragbarkeit: </w:t>
      </w:r>
      <w:r>
        <w:rPr>
          <w:sz w:val="19"/>
        </w:rPr>
        <w:t>Internationales Kardiologie-Review, klinische Standard-Verwaltung, praxis-orientiert für Deutsch-Versorgung.</w:t>
      </w:r>
    </w:p>
    <w:p>
      <w:r>
        <w:rPr>
          <w:color w:val="5A7D3A"/>
          <w:sz w:val="18"/>
        </w:rPr>
        <w:t>https://pubmed.ncbi.nlm.nih.gov/42735223/</w:t>
      </w:r>
    </w:p>
    <w:p>
      <w:pPr>
        <w:pStyle w:val="Heading2"/>
      </w:pPr>
      <w:r>
        <w:t>Arterielle Steifheit und LV-Dysfunktion erklären schlechte Lebensqualität vor Vorhofflimmern-Ablation</w:t>
      </w:r>
    </w:p>
    <w:p>
      <w:r>
        <w:rPr>
          <w:i/>
          <w:color w:val="666666"/>
          <w:sz w:val="18"/>
        </w:rPr>
        <w:t>Kruska M et al.  ·  Clin Res Cardiol  ·  14.09.2026  ·  PMID 42734670</w:t>
      </w:r>
    </w:p>
    <w:p>
      <w:r>
        <w:t>Deutsche prospektive Beobachtungsstudie mit 83 Patienten mit symptomatischem Vorhofflimmern zur Untersuchung von Gefäß- und Herzparametern als Determinanten der AFEQT-Lebensqualitäts-Scores vor Ablation.</w:t>
      </w:r>
    </w:p>
    <w:p>
      <w:r>
        <w:rPr>
          <w:b/>
        </w:rPr>
        <w:t xml:space="preserve">Ergebnis: </w:t>
      </w:r>
      <w:r>
        <w:t>Reduzierte Lebensqualität (mittlerer AFEQT 60±19) korrelierte stark mit höherer Gefäßsteifheit (r=-0,62, p&lt;0,001), erhöhtem zentralen systolischem Druck (r=-0,38, p&lt;0,001), LV-Auswurffraktion &lt;50% (r=-0,74, p&lt;0,001) und NT-proBNP (r=-0,38, p&lt;0,001). Diese Assoziationen deuten darauf hin, dass kardiovaskuläre Dysfunktion jenseits des Vorhofflimmerns die Symptome treibt.</w:t>
      </w:r>
    </w:p>
    <w:p>
      <w:r>
        <w:rPr>
          <w:b/>
          <w:sz w:val="19"/>
        </w:rPr>
        <w:t xml:space="preserve">Übertragbarkeit: </w:t>
      </w:r>
      <w:r>
        <w:rPr>
          <w:sz w:val="19"/>
        </w:rPr>
        <w:t>Deutsche Universitätsklinik-Daten, Ablationspatient*innen in der Regelversorgung repräsentativ.</w:t>
      </w:r>
    </w:p>
    <w:p>
      <w:r>
        <w:rPr>
          <w:color w:val="5A7D3A"/>
          <w:sz w:val="18"/>
        </w:rPr>
        <w:t>https://pubmed.ncbi.nlm.nih.gov/42734670/</w:t>
      </w:r>
    </w:p>
    <w:p>
      <w:pPr>
        <w:pStyle w:val="Heading2"/>
      </w:pPr>
      <w:r>
        <w:t>Nx3-Protein bei Herzinsuffizienz reduziert: Z-Scheiben-Struktur und Signalübertragung beeinträchtigt</w:t>
      </w:r>
    </w:p>
    <w:p>
      <w:r>
        <w:rPr>
          <w:i/>
          <w:color w:val="666666"/>
          <w:sz w:val="18"/>
        </w:rPr>
        <w:t>Linke WA et al.  ·  Circ Res  ·  10.09.2026  ·  PMID 42717863</w:t>
      </w:r>
    </w:p>
    <w:p>
      <w:r>
        <w:t>Grundlagenforschung mit Maus- und Humanmodellen zur Rolle des Z-Scheiben-Proteins Nx3 (novex-3), einem kleinen Titin-Isoform, in der Herzmuskel-Mechanik und Signalübertragung bei Herzinsuffizienz.</w:t>
      </w:r>
    </w:p>
    <w:p>
      <w:r>
        <w:rPr>
          <w:b/>
        </w:rPr>
        <w:t xml:space="preserve">Ergebnis: </w:t>
      </w:r>
      <w:r>
        <w:t>Nx3 macht 20-25% des Gesamt-Titin-Proteins aus. Genetische Ablation oder Reduktion beeinträchtigte Z-Scheiben-Organisation und mechanische Leistung. Bei dilatativer Kardiomyopathie im Endstadium war Nx3-Expression dysreguliert und reduziert (versus normal), mit fokalen Z-Scheiben-Störungen. Nx3 interagiert mit Pin1 und TBC1D4, die Stoffwechsel-Signalisierung regulieren. Das erklärt einen strukturellen und funktionellen Mechanismus von Herzinsuffizienzverschlechterung.</w:t>
      </w:r>
    </w:p>
    <w:p>
      <w:r>
        <w:rPr>
          <w:b/>
          <w:sz w:val="19"/>
        </w:rPr>
        <w:t xml:space="preserve">Übertragbarkeit: </w:t>
      </w:r>
      <w:r>
        <w:rPr>
          <w:sz w:val="19"/>
        </w:rPr>
        <w:t>Deutsche und europäische Grundlagenlabore, mechanistisches Fundament für zukünftige therapeutische Entwicklung.</w:t>
      </w:r>
    </w:p>
    <w:p>
      <w:r>
        <w:rPr>
          <w:color w:val="5A7D3A"/>
          <w:sz w:val="18"/>
        </w:rPr>
        <w:t>https://pubmed.ncbi.nlm.nih.gov/42717863/</w:t>
      </w:r>
    </w:p>
    <w:p>
      <w:pPr>
        <w:pStyle w:val="Heading2"/>
      </w:pPr>
      <w:r>
        <w:t>Niedrigeres Noradrenalin-Blutdruckziel bei kardiogenem Schock verbessert Nieren- und Sterblichkeitsergebnisse: NORshock-Studie Design</w:t>
      </w:r>
    </w:p>
    <w:p>
      <w:r>
        <w:rPr>
          <w:i/>
          <w:color w:val="666666"/>
          <w:sz w:val="18"/>
        </w:rPr>
        <w:t>Ten Berg S et al.  ·  EuroIntervention  ·  07.09.2026  ·  PMID 42703766</w:t>
      </w:r>
    </w:p>
    <w:p>
      <w:r>
        <w:t>Internationale, offene, multizentrische RCT mit geplant 776 Patienten mit Herzinfarkt-bedingtem kardiogenem Schock, die Noradrenalin mit Ziel-Mitteldruck 55 mmHg versus Standard 65 mmHg erhalten.</w:t>
      </w:r>
    </w:p>
    <w:p>
      <w:r>
        <w:rPr>
          <w:b/>
        </w:rPr>
        <w:t xml:space="preserve">Ergebnis: </w:t>
      </w:r>
      <w:r>
        <w:t>Primärer Endpunkt ist kombiniert: Gesamtmortalität und Nierenersatztherapie innerhalb 30 Tagen. Die Studie testet die Hypothese, dass permissive Hypotension mit weniger Noradrenalin die Standardbehandlung übertrifft und soll Belege für ein neueres Management kardiogener Schocks liefern.</w:t>
      </w:r>
    </w:p>
    <w:p>
      <w:r>
        <w:rPr>
          <w:b/>
          <w:sz w:val="19"/>
        </w:rPr>
        <w:t xml:space="preserve">Übertragbarkeit: </w:t>
      </w:r>
      <w:r>
        <w:rPr>
          <w:sz w:val="19"/>
        </w:rPr>
        <w:t>Europäisch-niederländische Kooperation, Versorgungsstandard-relevante Studie zu etablierter Notfall-Therapie.</w:t>
      </w:r>
    </w:p>
    <w:p>
      <w:r>
        <w:rPr>
          <w:color w:val="5A7D3A"/>
          <w:sz w:val="18"/>
        </w:rPr>
        <w:t>https://pubmed.ncbi.nlm.nih.gov/42703766/</w:t>
      </w:r>
    </w:p>
    <w:p>
      <w:pPr>
        <w:pStyle w:val="Heading2"/>
      </w:pPr>
      <w:r>
        <w:t>Persistierende Troponin-T-Erhöhung nach ACS sagt Herzinsuffizienz innerhalb eines Jahres voraus</w:t>
      </w:r>
    </w:p>
    <w:p>
      <w:r>
        <w:rPr>
          <w:i/>
          <w:color w:val="666666"/>
          <w:sz w:val="18"/>
        </w:rPr>
        <w:t>Erichsen PA et al.  ·  Int J Cardiol  ·  30.08.2026  ·  PMID 42669312</w:t>
      </w:r>
    </w:p>
    <w:p>
      <w:r>
        <w:t>Dänische Register-Kohortenstudie mit 26.835 Patienten ohne bekannte Herzinsuffizienz, die sich mit akutem Koronarsyndrom vorstellten und zwei Troponin-T-Messungen erhielten, zur Vorhersage von Herzinsuffizienzhospitalisierung.</w:t>
      </w:r>
    </w:p>
    <w:p>
      <w:r>
        <w:rPr>
          <w:b/>
        </w:rPr>
        <w:t xml:space="preserve">Ergebnis: </w:t>
      </w:r>
      <w:r>
        <w:t>Innerhalb von 30 Tagen entwickelten 4,2% der Patienten Herzinsuffizienz, zwischen Tag 31-365 weitere 2,8%. Patienten mit zwei normalen Troponinwerten hatten das niedrigste Risiko (0-30 Tage: 0,3%, Tag 31-365: 0,4%), während persistierende Troponinerhöhung das höchste Risiko zeigte (0-30 Tage: 6,6%, Tag 31-365: 4,3%). Höhere Peak-Troponinwerte korrelierten mit erhöhtem Herzinsuffizienzrisiko.</w:t>
      </w:r>
    </w:p>
    <w:p>
      <w:r>
        <w:rPr>
          <w:b/>
          <w:sz w:val="19"/>
        </w:rPr>
        <w:t xml:space="preserve">Übertragbarkeit: </w:t>
      </w:r>
      <w:r>
        <w:rPr>
          <w:sz w:val="19"/>
        </w:rPr>
        <w:t>Skandinavische Gesundheitsregisterdaten, Biomarker-Strategie auf deutsche Akut-Versorgung übertragbar.</w:t>
      </w:r>
    </w:p>
    <w:p>
      <w:r>
        <w:rPr>
          <w:color w:val="5A7D3A"/>
          <w:sz w:val="18"/>
        </w:rPr>
        <w:t>https://pubmed.ncbi.nlm.nih.gov/42669312/</w:t>
      </w:r>
    </w:p>
    <w:p>
      <w:pPr>
        <w:pStyle w:val="Heading2"/>
      </w:pPr>
      <w:r>
        <w:t>Catheter ablation für symptomatisches Vorhofflimmern zeigt keine Überlegenheit gegenüber Sham-Verfahren</w:t>
      </w:r>
    </w:p>
    <w:p>
      <w:r>
        <w:rPr>
          <w:i/>
          <w:color w:val="666666"/>
          <w:sz w:val="18"/>
        </w:rPr>
        <w:t>Wachter R et al.  ·  Lancet  ·  12.09.2026  ·  PMID 42669307</w:t>
      </w:r>
    </w:p>
    <w:p>
      <w:r>
        <w:t>Doppelblinde, randomisierte deutsche und polnische Studie mit 262 Patienten zur Frage, ob Katheterablation die Lebensqualität bei symptomatischem Vorhofflimmern besser verbessert als ein Schein-Verfahren.</w:t>
      </w:r>
    </w:p>
    <w:p>
      <w:r>
        <w:rPr>
          <w:b/>
        </w:rPr>
        <w:t xml:space="preserve">Ergebnis: </w:t>
      </w:r>
      <w:r>
        <w:t>Nach 6 Monaten zeigte die Katheterablation-Gruppe eine Verbesserung des AFEQT-Scores von 61,3 auf 81,1 Punkte, die Sham-Gruppe von 59,2 auf 74,9 Punkte. Der Unterschied zwischen den Gruppen betrug nur 2,6 Punkte (95% KI -2,7 bis 8,0; p=0,36), was statistisch nicht signifikant war. Ernsthafte, mit der Prozedur verbundene Nebenwirkungen traten bei 10 Patienten auf (6 Ablation, 4 Sham).</w:t>
      </w:r>
    </w:p>
    <w:p>
      <w:r>
        <w:rPr>
          <w:b/>
          <w:sz w:val="19"/>
        </w:rPr>
        <w:t xml:space="preserve">Übertragbarkeit: </w:t>
      </w:r>
      <w:r>
        <w:rPr>
          <w:sz w:val="19"/>
        </w:rPr>
        <w:t>Deutsche Multizenterstudie mit standardisierten Messinstrumenten, unmittelbar auf deutsche Versorgung übertragbar.</w:t>
      </w:r>
    </w:p>
    <w:p>
      <w:r>
        <w:rPr>
          <w:color w:val="5A7D3A"/>
          <w:sz w:val="18"/>
        </w:rPr>
        <w:t>https://pubmed.ncbi.nlm.nih.gov/42669307/</w:t>
      </w:r>
    </w:p>
    <w:p>
      <w:pPr>
        <w:pStyle w:val="Heading1"/>
      </w:pPr>
      <w:r>
        <w:t>Aufgenommen am 14.09.2026</w:t>
      </w:r>
    </w:p>
    <w:p>
      <w:pPr>
        <w:pStyle w:val="Heading2"/>
      </w:pPr>
      <w:r>
        <w:t>Adipositas verstärkt Herzinfarkt-Schaden durch gesteigerte myeloide TREM1-Expression</w:t>
      </w:r>
    </w:p>
    <w:p>
      <w:r>
        <w:rPr>
          <w:i/>
          <w:color w:val="666666"/>
          <w:sz w:val="18"/>
        </w:rPr>
        <w:t>Gladow N et al.  ·  Basic Res Cardiol  ·  11.09.2026  ·  PMID 42726202</w:t>
      </w:r>
    </w:p>
    <w:p>
      <w:r>
        <w:t>Experimentelle Studie an diätinduziert adipösen und schlanken Mäusen beiden Geschlechts zur Rolle von Myelopoiese und TREM1-Blockade nach experimentellem Herzinfarkt.</w:t>
      </w:r>
    </w:p>
    <w:p>
      <w:r>
        <w:rPr>
          <w:b/>
        </w:rPr>
        <w:t xml:space="preserve">Ergebnis: </w:t>
      </w:r>
      <w:r>
        <w:t>Adipöse Mäuse zeigten höhere Körpergewichte, signifikant erhöhte Myelopoiese in der Milz und höhere periphere Leukozyten als schlanke Weibchen. Überlebensvorteil bei schlanken Tieren: 56 Tage nach MI 87% Überleben vs. 58% bei adipösen (p&lt;0,05). Adipöse Mäuse: erhöhte infarkt-induzierte Myelopoiese, höhere Granulozyt-, Monozyten- und pro-inflammatorische Makrophagen-Zahl im Myokard. TREM1-Expression verstärkt bei adipösen Mäusen am Tag 5 nach MI (RNA-Sequenzierung und Immunohistologie). TREM1-Blockade führte zu signifikant besserer Erhaltung der systolischen Funktion bei adipösen Mäusen.</w:t>
      </w:r>
    </w:p>
    <w:p>
      <w:r>
        <w:rPr>
          <w:b/>
          <w:sz w:val="19"/>
        </w:rPr>
        <w:t xml:space="preserve">Übertragbarkeit: </w:t>
      </w:r>
      <w:r>
        <w:rPr>
          <w:sz w:val="19"/>
        </w:rPr>
        <w:t>Deutsche Grundlagenforschung (Würzburg), erkennbarer Weg zur Therapie (TREM1-Blockade)</w:t>
      </w:r>
    </w:p>
    <w:p>
      <w:r>
        <w:rPr>
          <w:color w:val="5A7D3A"/>
          <w:sz w:val="18"/>
        </w:rPr>
        <w:t>https://pubmed.ncbi.nlm.nih.gov/42726202/</w:t>
      </w:r>
    </w:p>
    <w:p>
      <w:pPr>
        <w:pStyle w:val="Heading2"/>
      </w:pPr>
      <w:r>
        <w:t>Geschlechtsspezifische Unterschiede bei akuter Herzinsuffizienz: Präsentation, Befunde und Genesung</w:t>
      </w:r>
    </w:p>
    <w:p>
      <w:r>
        <w:rPr>
          <w:i/>
          <w:color w:val="666666"/>
          <w:sz w:val="18"/>
        </w:rPr>
        <w:t>Khoraizat A et al.  ·  ESC Heart Fail  ·  09.09.2026  ·  PMID 42714581</w:t>
      </w:r>
    </w:p>
    <w:p>
      <w:r>
        <w:t>Prospektive observationsstudie zu Geschlechtsunterschieden in Klinik, Bildgebung und Kurzzeitverlauf bei 567 hospitalisierten Patienten mit akuter Herzinsuffizienz in Dänemark.</w:t>
      </w:r>
    </w:p>
    <w:p>
      <w:r>
        <w:rPr>
          <w:b/>
        </w:rPr>
        <w:t xml:space="preserve">Ergebnis: </w:t>
      </w:r>
      <w:r>
        <w:t>248 Frauen (43,7%) vs. 319 Männer, Durchschnittsalter 78,2±11,6 Jahre. Frauen älter, häufiger Vorhofflimmern (p&lt;0,05) und Hypertonie, Männer häufiger dyslipidämisch und mit Herzinfarkt-Anamnese. Frauen präsentierten häufiger mit Palpitationen/Ödemen, Männer mit Brustschmerz. Frauen: höhere LVEF (38% vs. 35%; p&lt;0,001), höhere GLS-Absolutwerte (10,5±4,7% vs. 9,7±4,4%; p=0,04), niedrigerer LV-Mass-Index (113 vs. 136 g/m²; p&lt;0,001). Männer höhere B-Linien-Zahl in Lungencsonografie (5 [1-12] vs. 2 [0-9]; p=0,003). Kurzzeitverlauf und 180-Tage-Ergebnisse vergleichbar zwischen Geschlechtern.</w:t>
      </w:r>
    </w:p>
    <w:p>
      <w:r>
        <w:rPr>
          <w:b/>
          <w:sz w:val="19"/>
        </w:rPr>
        <w:t xml:space="preserve">Übertragbarkeit: </w:t>
      </w:r>
      <w:r>
        <w:rPr>
          <w:sz w:val="19"/>
        </w:rPr>
        <w:t>Europäisches (dänisches) Gesundheitssystem, skandinavische Versorgungspraxis</w:t>
      </w:r>
    </w:p>
    <w:p>
      <w:r>
        <w:rPr>
          <w:color w:val="5A7D3A"/>
          <w:sz w:val="18"/>
        </w:rPr>
        <w:t>https://pubmed.ncbi.nlm.nih.gov/42714581/</w:t>
      </w:r>
    </w:p>
    <w:p>
      <w:pPr>
        <w:pStyle w:val="Heading2"/>
      </w:pPr>
      <w:r>
        <w:t>Genetische Varianten erhöhen Herzinsuffizienz-Risiko bei hypoplastischem Linksherz 9-fach</w:t>
      </w:r>
    </w:p>
    <w:p>
      <w:r>
        <w:rPr>
          <w:i/>
          <w:color w:val="666666"/>
          <w:sz w:val="18"/>
        </w:rPr>
        <w:t>Balint BN et al.  ·  J Am Coll Cardiol  ·  08.09.2026  ·  PMID 42714046</w:t>
      </w:r>
    </w:p>
    <w:p>
      <w:r>
        <w:t>Prospektive US-Multizenterstudie (Duke, UNC, Nationwide, Vanderbilt) zur Assoziation seltener Varianten in Kardiomyopathie-Genen mit früher Herzinsuffizienz-Entwicklung bei Neugeborenen mit hypoplastischem Linksherz.</w:t>
      </w:r>
    </w:p>
    <w:p>
      <w:r>
        <w:rPr>
          <w:b/>
        </w:rPr>
        <w:t xml:space="preserve">Ergebnis: </w:t>
      </w:r>
      <w:r>
        <w:t>35 Neugeborene prospektiv eingeschlossen: 7 (20%) entwickelten schwere HF, 10 (28,6%) medizinisch behandelte HF, 18 (51,4%) blieben HF-frei. Pathogene/wahrscheinlich pathogene Varianten assoziiert mit 9-fach erhöhtem Risiko für schwere HF (p=0,02). 67% der schweren HF-Ereignisse im ersten Lebensmonat. Externe Replikation an Nationwide Children's (11-fach erhöht; p&lt;0,05) und Vanderbilt (3-fach; p&lt;0,05). Ambispektive Kohorte (ältere Patienten) zeigten abgeschwächte Assoziationen (p&gt;0,05).</w:t>
      </w:r>
    </w:p>
    <w:p>
      <w:r>
        <w:rPr>
          <w:b/>
          <w:sz w:val="19"/>
        </w:rPr>
        <w:t xml:space="preserve">Übertragbarkeit: </w:t>
      </w:r>
      <w:r>
        <w:rPr>
          <w:sz w:val="19"/>
        </w:rPr>
        <w:t>USA-Studie, aber genetische Befunde universell; Risikostratifizierung prinzipiell auf Deutschland übertragbar</w:t>
      </w:r>
    </w:p>
    <w:p>
      <w:r>
        <w:rPr>
          <w:color w:val="5A7D3A"/>
          <w:sz w:val="18"/>
        </w:rPr>
        <w:t>https://pubmed.ncbi.nlm.nih.gov/42714046/</w:t>
      </w:r>
    </w:p>
    <w:p>
      <w:pPr>
        <w:pStyle w:val="Heading2"/>
      </w:pPr>
      <w:r>
        <w:t>Trikuspidalinsuffizienz in ATTR-Kardiomyopathie: Neue quantitative Prognosegrenzwerte</w:t>
      </w:r>
    </w:p>
    <w:p>
      <w:r>
        <w:rPr>
          <w:i/>
          <w:color w:val="666666"/>
          <w:sz w:val="18"/>
        </w:rPr>
        <w:t>Hauptmann L et al.  ·  JAMA Cardiol  ·  31.08.2026  ·  PMID 42671012</w:t>
      </w:r>
    </w:p>
    <w:p>
      <w:r>
        <w:t>Internationale multizentrische Kohortenstudie in Österreich, Italien, Deutschland und Niederlanden zur Ableitung krankheitsspezifischer Prognose-Schwellwerte für Trikuspidalinsuffizienz bei Transthyretin-Amyloid-Kardiomyopathie.</w:t>
      </w:r>
    </w:p>
    <w:p>
      <w:r>
        <w:rPr>
          <w:b/>
        </w:rPr>
        <w:t xml:space="preserve">Ergebnis: </w:t>
      </w:r>
      <w:r>
        <w:t>1124 Patienten (Derivation 745, Validation 379); 324/1124 Patienten (28,8%) starben, 251 (22,3%) hospitalisiert wegen Herzinsuffizienz über Mediann-Nachverfolgung von 25,2 Monaten. Neue Schwellwerte (VCW ≥5 mm, EROA ≥0,25 cm², RegVol ≥20 mL) identifizierten 334 Patienten (29,7%) mit hohem/extremen Risiko vs. 130 (11,6%) nach Leitliniendefinition. Hazard Ratio für Mortalität 1,41 (95%-KI 1,23-1,62) pro Stadium. Überlegene Diskriminierung gegenüber Standarddefinitionen.</w:t>
      </w:r>
    </w:p>
    <w:p>
      <w:r>
        <w:rPr>
          <w:b/>
          <w:sz w:val="19"/>
        </w:rPr>
        <w:t xml:space="preserve">Übertragbarkeit: </w:t>
      </w:r>
      <w:r>
        <w:rPr>
          <w:sz w:val="19"/>
        </w:rPr>
        <w:t>Europäische multizentrische Daten, vergleichbare Versorgungssysteme in D-A-CH</w:t>
      </w:r>
    </w:p>
    <w:p>
      <w:r>
        <w:rPr>
          <w:color w:val="5A7D3A"/>
          <w:sz w:val="18"/>
        </w:rPr>
        <w:t>https://pubmed.ncbi.nlm.nih.gov/42671012/</w:t>
      </w:r>
    </w:p>
    <w:p>
      <w:pPr>
        <w:pStyle w:val="Heading2"/>
      </w:pPr>
      <w:r>
        <w:t>Transkatheter-Trikuspidalklappnreparatur reduziert Sterblichkeit und Herzinsuffizienz-Hospitalisierung</w:t>
      </w:r>
    </w:p>
    <w:p>
      <w:r>
        <w:rPr>
          <w:i/>
          <w:color w:val="666666"/>
          <w:sz w:val="18"/>
        </w:rPr>
        <w:t>Hausleiter J et al.  ·  N Engl J Med  ·  30.08.2026  ·  PMID 42670975</w:t>
      </w:r>
    </w:p>
    <w:p>
      <w:r>
        <w:t>Randomisierte Studie zum Vergleich von transkatheter Trikuspidalklappnreparatur plus Standardtherapie gegen Standardtherapie allein bei schwerer Trikuspidalinsuffizienz in Deutschland und international.</w:t>
      </w:r>
    </w:p>
    <w:p>
      <w:r>
        <w:rPr>
          <w:b/>
        </w:rPr>
        <w:t xml:space="preserve">Ergebnis: </w:t>
      </w:r>
      <w:r>
        <w:t>Win-Ratio 2,42 (95%-KI 1,76-3,33; p&lt;0,001) für primären kombiniert Endpunkt nach 1 Jahr. Freiheit von Tod oder Herzinsuffizienz-Hospitalisierung über 3 Jahre: 52,4% vs. 21,0% (Hazard Ratio 0,40; 95%-KI 0,29-0,55; p&lt;0,001). Schwere unerwünschte Ereignisse innerhalb 30 Tage in 5,9% der Interventionsgruppe. Praxisveränderndes Ergebnis mit harten Endpunkten.</w:t>
      </w:r>
    </w:p>
    <w:p>
      <w:r>
        <w:rPr>
          <w:b/>
          <w:sz w:val="19"/>
        </w:rPr>
        <w:t xml:space="preserve">Übertragbarkeit: </w:t>
      </w:r>
      <w:r>
        <w:rPr>
          <w:sz w:val="19"/>
        </w:rPr>
        <w:t>Deutsche Studie, DZHK-finanziert, deutsches Patientenkollektiv, direkt übertragbar</w:t>
      </w:r>
    </w:p>
    <w:p>
      <w:r>
        <w:rPr>
          <w:color w:val="5A7D3A"/>
          <w:sz w:val="18"/>
        </w:rPr>
        <w:t>https://pubmed.ncbi.nlm.nih.gov/42670975/</w:t>
      </w:r>
    </w:p>
    <w:p>
      <w:pPr>
        <w:pStyle w:val="Heading2"/>
      </w:pPr>
      <w:r>
        <w:t>Zirkadianer Druck im Vorhof: Abendanstieg auch unter optimierter Diuretika-Therapie</w:t>
      </w:r>
    </w:p>
    <w:p>
      <w:r>
        <w:rPr>
          <w:i/>
          <w:color w:val="666666"/>
          <w:sz w:val="18"/>
        </w:rPr>
        <w:t>Amir Y et al.  ·  Eur J Heart Fail  ·  31.08.2026  ·  PMID 42670644</w:t>
      </w:r>
    </w:p>
    <w:p>
      <w:r>
        <w:t>Observationsstudie mit implantierbarem Drucksensor zu täglichen Schwankungen des linksatrialen Drucks bei ambulanten Herzinsuffizienz-Patienten über 25,5 Monate.</w:t>
      </w:r>
    </w:p>
    <w:p>
      <w:r>
        <w:rPr>
          <w:b/>
        </w:rPr>
        <w:t xml:space="preserve">Ergebnis: </w:t>
      </w:r>
      <w:r>
        <w:t>Über &gt;15.500 Messtage bei 73 Patienten: Medianer linksatrialer Druck abends 12,4 [6,8-18,3] mmHg vs. morgens 10,7 [5,5-17,3] mmHg (p&lt;0,01). Höhere Diuretika-Dosis oder Zweimal-Gabe modifizierte Rhythmus nicht (p=0,98 bzw. p=0,50). Patienten mit akuter Dekompensation zeigten höhere Drücke (14,3 [9,5-19,9] vs. 10,4 [5,4-17,3] mmHg; p&lt;0,01). LAP unabhängig mit erhöhtem Dekompensationsrisiko assoziiert (OR 1,40; 95%-KI 1,10-1,78; p&lt;0,01).</w:t>
      </w:r>
    </w:p>
    <w:p>
      <w:r>
        <w:rPr>
          <w:b/>
          <w:sz w:val="19"/>
        </w:rPr>
        <w:t xml:space="preserve">Übertragbarkeit: </w:t>
      </w:r>
      <w:r>
        <w:rPr>
          <w:sz w:val="19"/>
        </w:rPr>
        <w:t>Remote-Monitoring-Technologie, aber Zentren überregional; Dekompensationserkennung relevant für deutsches DMP</w:t>
      </w:r>
    </w:p>
    <w:p>
      <w:r>
        <w:rPr>
          <w:color w:val="5A7D3A"/>
          <w:sz w:val="18"/>
        </w:rPr>
        <w:t>https://pubmed.ncbi.nlm.nih.gov/42670644/</w:t>
      </w:r>
    </w:p>
    <w:p>
      <w:pPr>
        <w:pStyle w:val="Heading1"/>
      </w:pPr>
      <w:r>
        <w:t>Aufgenommen am 13.09.2026</w:t>
      </w:r>
    </w:p>
    <w:p>
      <w:pPr>
        <w:pStyle w:val="Heading2"/>
      </w:pPr>
      <w:r>
        <w:t>P2Y₁₂-Hemmer vor Angiografie: Weniger STEMI, aber auch weniger Blutungen bei längeren Wartezeiten</w:t>
      </w:r>
    </w:p>
    <w:p>
      <w:r>
        <w:rPr>
          <w:i/>
          <w:color w:val="666666"/>
          <w:sz w:val="18"/>
        </w:rPr>
        <w:t>Hesse K et al.  ·  Open Heart  ·  12.09.2026  ·  PMID 42731862</w:t>
      </w:r>
    </w:p>
    <w:p>
      <w:r>
        <w:t>Vergleich zweier Strategien bei NSTE-ACS: Routinemäßige Gabe eines P2Y₁₂-Hemmers vor Herzkatheter versus Zurückhaltung bis zur Anatomiekenntnis im britischen Versorgungssystem mit längeren Wartezeiten (Median 3,6 Tage).</w:t>
      </w:r>
    </w:p>
    <w:p>
      <w:r>
        <w:rPr>
          <w:b/>
        </w:rPr>
        <w:t xml:space="preserve">Ergebnis: </w:t>
      </w:r>
      <w:r>
        <w:t>Bei Verzicht auf Vorbehandlung: In-hospital-STEMI stieg von 0,4% auf 1,7% (adjustierte OR 4,40; 95%-KI 1,78–13,3), aber actionable Blutungsereignisse sanken von 0,9% auf 0,2% (adjustierte OR 0,18; 95%-KI 0,03–0,70). Längere Wartezeiten verändern das Nutzen-Risiko-Verhältnis gegenüber den Leitlinien, die auf kürzeren Katheterwartezeiten basieren.</w:t>
      </w:r>
    </w:p>
    <w:p>
      <w:r>
        <w:rPr>
          <w:b/>
          <w:sz w:val="19"/>
        </w:rPr>
        <w:t xml:space="preserve">Übertragbarkeit: </w:t>
      </w:r>
      <w:r>
        <w:rPr>
          <w:sz w:val="19"/>
        </w:rPr>
        <w:t>UK-Klinikdaten mit wesentlich längeren Wartezeiten als in Deutschland üblich.</w:t>
      </w:r>
    </w:p>
    <w:p>
      <w:r>
        <w:rPr>
          <w:color w:val="5A7D3A"/>
          <w:sz w:val="18"/>
        </w:rPr>
        <w:t>https://pubmed.ncbi.nlm.nih.gov/42731862/</w:t>
      </w:r>
    </w:p>
    <w:p>
      <w:pPr>
        <w:pStyle w:val="Heading2"/>
      </w:pPr>
      <w:r>
        <w:t>HFpEF-Risikoscores für Primärversorgung in HIV-Hochprävalenzregion anwendbar</w:t>
      </w:r>
    </w:p>
    <w:p>
      <w:r>
        <w:rPr>
          <w:i/>
          <w:color w:val="666666"/>
          <w:sz w:val="18"/>
        </w:rPr>
        <w:t>Honwana F et al.  ·  Open Heart  ·  12.09.2026  ·  PMID 42731860</w:t>
      </w:r>
    </w:p>
    <w:p>
      <w:r>
        <w:t>Entwicklung und interne Validierung eines nomogramm-basierten HFpEF-Vorhersage-Scores für die Primärversorgung in Südafrika unter Berücksichtigung HIV-Status, klinischer Faktoren, BNP und EKG.</w:t>
      </w:r>
    </w:p>
    <w:p>
      <w:r>
        <w:rPr>
          <w:b/>
        </w:rPr>
        <w:t xml:space="preserve">Ergebnis: </w:t>
      </w:r>
      <w:r>
        <w:t>Nomogramm mit Alter, Geschlecht, HIV-Status, Rauchen, Hypertonie, BMI und BNP: Overfitting-korrigierte AUC 0,77 mit guter Kalibrierung. Von 1.508 Teilnehmern (77% Frauen, 42% adipös) erfüllten 7,8% HFpEF-Kriterien (118 Patienten; 8,4% bei HIV-positiv, 6,6% HIV-negativ).</w:t>
      </w:r>
    </w:p>
    <w:p>
      <w:r>
        <w:rPr>
          <w:b/>
          <w:sz w:val="19"/>
        </w:rPr>
        <w:t xml:space="preserve">Übertragbarkeit: </w:t>
      </w:r>
      <w:r>
        <w:rPr>
          <w:sz w:val="19"/>
        </w:rPr>
        <w:t>Südafrika; Score als praktisches Werkzeug für ressourcenlimitierte Primärsettings adaptierbar.</w:t>
      </w:r>
    </w:p>
    <w:p>
      <w:r>
        <w:rPr>
          <w:color w:val="5A7D3A"/>
          <w:sz w:val="18"/>
        </w:rPr>
        <w:t>https://pubmed.ncbi.nlm.nih.gov/42731860/</w:t>
      </w:r>
    </w:p>
    <w:p>
      <w:pPr>
        <w:pStyle w:val="Heading2"/>
      </w:pPr>
      <w:r>
        <w:t>Ultraschnelle ambulante TAVI bei akutem aortalen Klappensyndrom spart Krankenhausbetten</w:t>
      </w:r>
    </w:p>
    <w:p>
      <w:r>
        <w:rPr>
          <w:i/>
          <w:color w:val="666666"/>
          <w:sz w:val="18"/>
        </w:rPr>
        <w:t>Vibhishanan J et al.  ·  Open Heart  ·  12.09.2026  ·  PMID 42731859</w:t>
      </w:r>
    </w:p>
    <w:p>
      <w:r>
        <w:t>Evaluierung eines neuen Versorgungspfads für ausgewählte, stabilisierte Patienten mit akutem aortalen Stenose-Syndroms (AVS) und geplantem TAVI-Einsatz: ambulante Vorbereitung mit Entlassung nach initialem Assessment vs. stationärer Weg in einer britischen Universitätsklinik.</w:t>
      </w:r>
    </w:p>
    <w:p>
      <w:r>
        <w:rPr>
          <w:b/>
        </w:rPr>
        <w:t xml:space="preserve">Ergebnis: </w:t>
      </w:r>
      <w:r>
        <w:t>Von 105 für den ambulanten Weg evaluierten Patienten wurden 58 (55,2%) ambulant und 47 (44,8%) stationär behandelt. Ambulante Gruppe: mediane Gesamtkrankenhaus-Liegedauer 12 Tage (IQR 7–17) vs. stationär 20 Tage (IQR 15–32; p&lt;0,0001), Einsparung von 210 Bettentagen. Zeit von Zuweisung bis TAVI unterschied sich nicht (ambulant 15 vs. stationär 14 Tage; p=0,22). Primärer Sicherheitsendpunkt (Tod oder akute Dekompensation vor TAVI) war gleich (ambulant 6,9% vs. stationär 6,4%; HR 0,97; 95%-KI 0,22–4,34; p=0,97).</w:t>
      </w:r>
    </w:p>
    <w:p>
      <w:r>
        <w:rPr>
          <w:b/>
          <w:sz w:val="19"/>
        </w:rPr>
        <w:t xml:space="preserve">Übertragbarkeit: </w:t>
      </w:r>
      <w:r>
        <w:rPr>
          <w:sz w:val="19"/>
        </w:rPr>
        <w:t>UK-Klinik; Konzept auf vergleichbare europäische Zentren übertragbar, bedarf Validierung.</w:t>
      </w:r>
    </w:p>
    <w:p>
      <w:r>
        <w:rPr>
          <w:color w:val="5A7D3A"/>
          <w:sz w:val="18"/>
        </w:rPr>
        <w:t>https://pubmed.ncbi.nlm.nih.gov/42731859/</w:t>
      </w:r>
    </w:p>
    <w:p>
      <w:pPr>
        <w:pStyle w:val="Heading2"/>
      </w:pPr>
      <w:r>
        <w:t>Supplementale Sauerstoffgabe bei akuter Herzinsuffizienz: Weniger ist mehr</w:t>
      </w:r>
    </w:p>
    <w:p>
      <w:r>
        <w:rPr>
          <w:i/>
          <w:color w:val="666666"/>
          <w:sz w:val="18"/>
        </w:rPr>
        <w:t>Galluzzo A et al.  ·  Eur Heart J Acute Cardiovasc Care  ·  08.09.2026  ·  PMID 42708882</w:t>
      </w:r>
    </w:p>
    <w:p>
      <w:r>
        <w:t>Editorium zu Evidenz über Sauerstoff in akuter Herzinsuffizienz; Diskussion, ob weniger Sauerstoff bessere Outcomes ermöglicht.</w:t>
      </w:r>
    </w:p>
    <w:p>
      <w:r>
        <w:rPr>
          <w:b/>
        </w:rPr>
        <w:t xml:space="preserve">Ergebnis: </w:t>
      </w:r>
      <w:r>
        <w:t>Kein konkretes Ergebnis im Abstract berichtet; nur Ankündigung des Themas ohne quantitative Befunde oder definitive Empfehlungen.</w:t>
      </w:r>
    </w:p>
    <w:p>
      <w:r>
        <w:rPr>
          <w:b/>
          <w:sz w:val="19"/>
        </w:rPr>
        <w:t xml:space="preserve">Übertragbarkeit: </w:t>
      </w:r>
      <w:r>
        <w:rPr>
          <w:sz w:val="19"/>
        </w:rPr>
        <w:t>Erfüllt Auswahlkriterium nicht; kein benennbares Ergebnis.</w:t>
      </w:r>
    </w:p>
    <w:p>
      <w:r>
        <w:rPr>
          <w:color w:val="5A7D3A"/>
          <w:sz w:val="18"/>
        </w:rPr>
        <w:t>https://pubmed.ncbi.nlm.nih.gov/42708882/</w:t>
      </w:r>
    </w:p>
    <w:p>
      <w:pPr>
        <w:pStyle w:val="Heading2"/>
      </w:pPr>
      <w:r>
        <w:t>ASTA-Score beste psychometrische Validierung unter AF-Symptom-Schwere-Messgeräten</w:t>
      </w:r>
    </w:p>
    <w:p>
      <w:r>
        <w:rPr>
          <w:i/>
          <w:color w:val="666666"/>
          <w:sz w:val="18"/>
        </w:rPr>
        <w:t>Ogendo JJ et al.  ·  Europace  ·  08.09.2026  ·  PMID 42706219</w:t>
      </w:r>
    </w:p>
    <w:p>
      <w:r>
        <w:t>Systematischer Review und COSMIN-Bewertung von Patient-Reported Outcome Measures (PROMs) für Vorhofflimmern; Evaluation von sechs Symptom-Schwere-Instrumenten (AFSymp, AFS/B, AFSS, ASTA, AF6, SCL) und deren Messeigenschaften.</w:t>
      </w:r>
    </w:p>
    <w:p>
      <w:r>
        <w:rPr>
          <w:b/>
        </w:rPr>
        <w:t xml:space="preserve">Ergebnis: </w:t>
      </w:r>
      <w:r>
        <w:t>709 Publikationen identifizierten 101 PROMs; sechs Symptom-Schwere-Scores wurden psychometrisch bewertet. ASTA zeigte die meiste Validierungseviden und größte Sicherheit bei Inhaltsvalidität sowie interne Konsistenz. COSMIN-Bewertungen enthüllten kritische Lücken in Responsiveness und kulturübergreifender Validität. Empfehlung: COSMIN-konforme Validierung aller PROMs vor Routineintegration in AF-Versorgung.</w:t>
      </w:r>
    </w:p>
    <w:p>
      <w:r>
        <w:rPr>
          <w:b/>
          <w:sz w:val="19"/>
        </w:rPr>
        <w:t xml:space="preserve">Übertragbarkeit: </w:t>
      </w:r>
      <w:r>
        <w:rPr>
          <w:sz w:val="19"/>
        </w:rPr>
        <w:t>Europa; Systematik übertragbar auf deutsches Setting für Versorgungsqualität und Patient-Reported Outcomes.</w:t>
      </w:r>
    </w:p>
    <w:p>
      <w:r>
        <w:rPr>
          <w:color w:val="5A7D3A"/>
          <w:sz w:val="18"/>
        </w:rPr>
        <w:t>https://pubmed.ncbi.nlm.nih.gov/42706219/</w:t>
      </w:r>
    </w:p>
    <w:p>
      <w:pPr>
        <w:pStyle w:val="Heading2"/>
      </w:pPr>
      <w:r>
        <w:t>Erhöhte TMAO und PAGln prognostizieren Sterblichkeit über HFrEF und HFpEF hinweg</w:t>
      </w:r>
    </w:p>
    <w:p>
      <w:r>
        <w:rPr>
          <w:i/>
          <w:color w:val="666666"/>
          <w:sz w:val="18"/>
        </w:rPr>
        <w:t>Koeckerling D et al.  ·  Eur J Heart Fail  ·  01.09.2026  ·  PMID 42677938</w:t>
      </w:r>
    </w:p>
    <w:p>
      <w:r>
        <w:t>Systematischer Review und Meta-Analyse zur prognostischen Assoziation von Darm-Mikrobiom-Metaboliten (TMAO, Phenylacetylglutamin) mit Herzinsuffizienz-Outcomes; Pooling von 20 Studien mit 17.715 Patienten.</w:t>
      </w:r>
    </w:p>
    <w:p>
      <w:r>
        <w:rPr>
          <w:b/>
        </w:rPr>
        <w:t xml:space="preserve">Ergebnis: </w:t>
      </w:r>
      <w:r>
        <w:t>Erhöhtes Trimethylamin-N-oxid (TMAO) assoziiert mit Gesamtsterblichkeit (HR 1,72; 95%-KI 1,42–2,08) und Major Adverse Cardiac Events (HR 1,60; 95%-KI 1,44–1,78) über HFrEF (HR 2,17; 95%-KI 1,68–2,81) und HFpEF (HR 1,55; 95%-KI 0,92–2,61) hinweg. Erhöhtes Phenylacetylglutamin (PAGln) ebenfalls mit Mortalität (HR 1,60; 95%-KI 1,33–1,94) und MACE (HR 1,65; 95%-KI 1,37–1,99) assoziiert. Unterschiede durch Alter, NT-proBNP, Nierenfunktion oder BMI nicht signifikant.</w:t>
      </w:r>
    </w:p>
    <w:p>
      <w:r>
        <w:rPr>
          <w:b/>
          <w:sz w:val="19"/>
        </w:rPr>
        <w:t xml:space="preserve">Übertragbarkeit: </w:t>
      </w:r>
      <w:r>
        <w:rPr>
          <w:sz w:val="19"/>
        </w:rPr>
        <w:t>Meta-Analyse europäischer und internationaler Kohorten; Biomarker auf Routinetauglichkeit zu prüfen.</w:t>
      </w:r>
    </w:p>
    <w:p>
      <w:r>
        <w:rPr>
          <w:color w:val="5A7D3A"/>
          <w:sz w:val="18"/>
        </w:rPr>
        <w:t>https://pubmed.ncbi.nlm.nih.gov/42677938/</w:t>
      </w:r>
    </w:p>
    <w:p>
      <w:pPr>
        <w:pStyle w:val="Heading2"/>
      </w:pPr>
      <w:r>
        <w:t>Schrittmacher mit AV-Knoten-Ablation besser als PVI bei älteren Patienten mit persistentem Vorhofflimmern</w:t>
      </w:r>
    </w:p>
    <w:p>
      <w:r>
        <w:rPr>
          <w:i/>
          <w:color w:val="666666"/>
          <w:sz w:val="18"/>
        </w:rPr>
        <w:t>Boehmer AA et al.  ·  Eur Heart J  ·  31.08.2026  ·  PMID 42671117</w:t>
      </w:r>
    </w:p>
    <w:p>
      <w:r>
        <w:t>Randomisierte Studie (ABLATE versus PACE) in Deutschland und Österreich: Pacemaker-Implantation mit Atrioventricular-Node-Ablation (PM+AVNA) vs. Pulmonalvenenisolation (PVI) bei älteren Patienten (≥75 Jahre) mit symptomatischem persistentem Vorhofflimmern.</w:t>
      </w:r>
    </w:p>
    <w:p>
      <w:r>
        <w:rPr>
          <w:b/>
        </w:rPr>
        <w:t xml:space="preserve">Ergebnis: </w:t>
      </w:r>
      <w:r>
        <w:t>Bei 12-Monaten-Follow-up: Primärer Endpunkt (Hospitalisierung wegen Arrhythmie, Herzinsuffizienz, elektrische Kardioversion oder CRT-Upgrade) trat bei 24% (PM+AVNA) vs. 46% (PVI) auf (Hazard Ratio 0,45; 95%-KI 0,27–0,74; p=0,002). PM+AVNA zeigte weniger AF-Hospitalisierungen und Kardioversionen, aber mehr HF-Hospitalisierungen. Mortalität und Lebensqualität unterschieden sich nicht.</w:t>
      </w:r>
    </w:p>
    <w:p>
      <w:r>
        <w:rPr>
          <w:b/>
          <w:sz w:val="19"/>
        </w:rPr>
        <w:t xml:space="preserve">Übertragbarkeit: </w:t>
      </w:r>
      <w:r>
        <w:rPr>
          <w:sz w:val="19"/>
        </w:rPr>
        <w:t>Deutsches und österreichisches Gesundheitssystem, direkt übertragbar auf Altersstruktur und Leitlinien.</w:t>
      </w:r>
    </w:p>
    <w:p>
      <w:r>
        <w:rPr>
          <w:color w:val="5A7D3A"/>
          <w:sz w:val="18"/>
        </w:rPr>
        <w:t>https://pubmed.ncbi.nlm.nih.gov/42671117/</w:t>
      </w:r>
    </w:p>
    <w:p>
      <w:pPr>
        <w:pStyle w:val="Heading1"/>
      </w:pPr>
      <w:r>
        <w:t>Aufgenommen am 11.09.2026</w:t>
      </w:r>
    </w:p>
    <w:p>
      <w:pPr>
        <w:pStyle w:val="Heading2"/>
      </w:pPr>
      <w:r>
        <w:t>Nur Vorhofflimmern ist nach STEMI mit reduzierter EF unabhängig mit erhöhter Mortalität assoziiert; Kammertachykardien sind seltener als erwartet</w:t>
      </w:r>
    </w:p>
    <w:p>
      <w:r>
        <w:rPr>
          <w:i/>
          <w:color w:val="666666"/>
          <w:sz w:val="18"/>
        </w:rPr>
        <w:t>Jiménez-Candil J et al.  ·  JACC Clin Electrophysiol  ·  26.08.2026  ·  PMID 42720633</w:t>
      </w:r>
    </w:p>
    <w:p>
      <w:r>
        <w:t>Multizenterstudie (TeVeO-Register) an 224 STEMI-Überlebenden mit EF ≤40 % am Tag ≥4, die kontinuierliches implantierbares Monitoring nach Entlassung mit Remote-Telemetrie über Median 3,1 Jahre durchgeführt hat.</w:t>
      </w:r>
    </w:p>
    <w:p>
      <w:r>
        <w:rPr>
          <w:b/>
        </w:rPr>
        <w:t xml:space="preserve">Ergebnis: </w:t>
      </w:r>
      <w:r>
        <w:t>Mortalität 3,7 pro 100 Patientenjahre; ohne plötzliche arrhythmische Todesfälle. Bei 6 Monaten ICD bei 25 (11 %) implantiert. Während Follow-up 119 (53 %) ≥1 ambulante Arrhythmie: 39 (17 %) Vorhofflimmern, 35 (16 %) NSVT, 33 (15 %) Pausen &gt;3 sec, 5 (2,2 %) nachgewiesene VT/ICD-Therapie. Nur Vorhofflimmern unabhängig mit erhöhter Mortalität assoziiert (adj. HR=2,5; p=0,04). NSVT-Inzidenz 5,4/100 PY, VT/ICD-Therapie 0,9/100 PY.</w:t>
      </w:r>
    </w:p>
    <w:p>
      <w:r>
        <w:rPr>
          <w:b/>
          <w:sz w:val="19"/>
        </w:rPr>
        <w:t xml:space="preserve">Übertragbarkeit: </w:t>
      </w:r>
      <w:r>
        <w:rPr>
          <w:sz w:val="19"/>
        </w:rPr>
        <w:t>Spanische Multizenterstudie mit etabliertem Register; Real-World-Evidenz zum Post-STEMI-Arrhythmie-Phänotyp.</w:t>
      </w:r>
    </w:p>
    <w:p>
      <w:r>
        <w:rPr>
          <w:color w:val="5A7D3A"/>
          <w:sz w:val="18"/>
        </w:rPr>
        <w:t>https://pubmed.ncbi.nlm.nih.gov/42720633/</w:t>
      </w:r>
    </w:p>
    <w:p>
      <w:pPr>
        <w:pStyle w:val="Heading2"/>
      </w:pPr>
      <w:r>
        <w:t>Stressechokardiographie mit LA-Strain verbessert HFpEF-Diagnose und reduziert Invasivtestungen um etwa 30 Prozent</w:t>
      </w:r>
    </w:p>
    <w:p>
      <w:r>
        <w:rPr>
          <w:i/>
          <w:color w:val="666666"/>
          <w:sz w:val="18"/>
        </w:rPr>
        <w:t>Harada T et al.  ·  Eur Heart J  ·  10.09.2026  ·  PMID 42720269</w:t>
      </w:r>
    </w:p>
    <w:p>
      <w:r>
        <w:t>Multizenterstudie an 482 Patienten mit Dyspnoe unklarer Ursache mit invasivem Belastungstest und simultaner Echokardiographie zur Validierung eines verbesserten diagnostischen Algorithmus für HFpEF mittels Stressecho und Vorhofbelastungszechanismus.</w:t>
      </w:r>
    </w:p>
    <w:p>
      <w:r>
        <w:rPr>
          <w:b/>
        </w:rPr>
        <w:t xml:space="preserve">Ergebnis: </w:t>
      </w:r>
      <w:r>
        <w:t>Aktuelle Diagnostik-Scores (H2FPEF, HFA-PEFF) zeigten nur 55–60 % Sensitivität. Mit optimierten Cut-Points für E/e' und LA-Reservoir-Strain (Systole/E/e') bei Ruhe konnten sichere Klassifikationen auf 70 % ausgeweitet werden, während invasive Tests von ~60 % auf ~30 % reduziert wurden (Sensitivität 95–99 % unter definitiv Klassifizierten). Befunde in internationalem Validierungskohorte bestätigt.</w:t>
      </w:r>
    </w:p>
    <w:p>
      <w:r>
        <w:rPr>
          <w:b/>
          <w:sz w:val="19"/>
        </w:rPr>
        <w:t xml:space="preserve">Übertragbarkeit: </w:t>
      </w:r>
      <w:r>
        <w:rPr>
          <w:sz w:val="19"/>
        </w:rPr>
        <w:t>USA-Studie mit internationalem Validierungskohorte; Verfahrensoptimierung übertragbar auf Chest-Pain-Units in Deutschland.</w:t>
      </w:r>
    </w:p>
    <w:p>
      <w:r>
        <w:rPr>
          <w:color w:val="5A7D3A"/>
          <w:sz w:val="18"/>
        </w:rPr>
        <w:t>https://pubmed.ncbi.nlm.nih.gov/42720269/</w:t>
      </w:r>
    </w:p>
    <w:p>
      <w:pPr>
        <w:pStyle w:val="Heading2"/>
      </w:pPr>
      <w:r>
        <w:t>Myeloperoxidase-Inhibitor Mitiperstat verbessert nicht Symptome oder Trainingsleistung bei Herzinsuffizienz mit erhaltener Ejektionsfraktion</w:t>
      </w:r>
    </w:p>
    <w:p>
      <w:r>
        <w:rPr>
          <w:i/>
          <w:color w:val="666666"/>
          <w:sz w:val="18"/>
        </w:rPr>
        <w:t>Lund LH et al.  ·  Nat Med  ·  09.09.2026  ·  PMID 42717033</w:t>
      </w:r>
    </w:p>
    <w:p>
      <w:r>
        <w:t>Randomisierte, doppelblinde Phase-2b-Studie mit 711 Patienten mit Herzinsuffizienz und EF &gt;40 %, die untersucht hat, ob der MPO-Inhibitor Mitiperstat über 48 Wochen Symptome und Trainingskapazität verbessert.</w:t>
      </w:r>
    </w:p>
    <w:p>
      <w:r>
        <w:rPr>
          <w:b/>
        </w:rPr>
        <w:t xml:space="preserve">Ergebnis: </w:t>
      </w:r>
      <w:r>
        <w:t>Mitiperstat (gepoolte Dosen) verschlechterte nicht das KCCQ-Total Symptom Score (Placebo-korrigierte Differenz −1,4 Punkte, 95%-KI −3,9–1,2; p=0,29) oder die 6-Minuten-Gehstrecke (3,8 m, 95%-KI −3,1–10,8; p=0,28). Die Therapie war sicher, aber wirkungslos für HFpEF/HFmrEF im chronischen Stadium.</w:t>
      </w:r>
    </w:p>
    <w:p>
      <w:r>
        <w:rPr>
          <w:b/>
          <w:sz w:val="19"/>
        </w:rPr>
        <w:t xml:space="preserve">Übertragbarkeit: </w:t>
      </w:r>
      <w:r>
        <w:rPr>
          <w:sz w:val="19"/>
        </w:rPr>
        <w:t>Multizentrische europäische und globale Studie; negative Ergebnisse für Leitlinienentscheidungen relevant.</w:t>
      </w:r>
    </w:p>
    <w:p>
      <w:r>
        <w:rPr>
          <w:color w:val="5A7D3A"/>
          <w:sz w:val="18"/>
        </w:rPr>
        <w:t>https://pubmed.ncbi.nlm.nih.gov/42717033/</w:t>
      </w:r>
    </w:p>
    <w:p>
      <w:pPr>
        <w:pStyle w:val="Heading2"/>
      </w:pPr>
      <w:r>
        <w:t>Herzinsuffizienz jeder EF-Kategorie ist mit kognitiven Beeinträchtigungen assoziiert, am stärksten bei reduzierter EF</w:t>
      </w:r>
    </w:p>
    <w:p>
      <w:r>
        <w:rPr>
          <w:i/>
          <w:color w:val="666666"/>
          <w:sz w:val="18"/>
        </w:rPr>
        <w:t>Satyadev N et al.  ·  J Am Heart Assoc  ·  09.09.2026  ·  PMID 42714589</w:t>
      </w:r>
    </w:p>
    <w:p>
      <w:r>
        <w:t>Querschnittstudie von 1.592 Patienten (mittleres Alter 75,7 Jahre) aus einem US-Gesundheitssystem, die Zusammenhänge zwischen HF-Phenotypen (nach EF-Kategorien) und kognitiven Funktionen (Montreal Cognitive Assessment) untersucht hat.</w:t>
      </w:r>
    </w:p>
    <w:p>
      <w:r>
        <w:rPr>
          <w:b/>
        </w:rPr>
        <w:t xml:space="preserve">Ergebnis: </w:t>
      </w:r>
      <w:r>
        <w:t>Niedrigere EF korrelierte mit schlechterer kognitiver Leistung (bereinigt β=0,033, p=0,013). HFrEF und HFpEF zeigten signifikant niedrigere MoCA-Werte als keine HF (HFrEF 17,6±6,2 vs. keine HF 19,9±6,0, p&lt;0,001). Moderate bis schwere kognitive Beeinträchtigung war höchst bei HFrEF (43,3 %), gefolgt von HFpEF (34,4 %).</w:t>
      </w:r>
    </w:p>
    <w:p>
      <w:r>
        <w:rPr>
          <w:b/>
          <w:sz w:val="19"/>
        </w:rPr>
        <w:t xml:space="preserve">Übertragbarkeit: </w:t>
      </w:r>
      <w:r>
        <w:rPr>
          <w:sz w:val="19"/>
        </w:rPr>
        <w:t>USA-Daten; Sekundärbefund zum kognitiven Risiko bei HF relevant für deutsche Versorgungsplanung und Geriatrie.</w:t>
      </w:r>
    </w:p>
    <w:p>
      <w:r>
        <w:rPr>
          <w:color w:val="5A7D3A"/>
          <w:sz w:val="18"/>
        </w:rPr>
        <w:t>https://pubmed.ncbi.nlm.nih.gov/42714589/</w:t>
      </w:r>
    </w:p>
    <w:p>
      <w:pPr>
        <w:pStyle w:val="Heading2"/>
      </w:pPr>
      <w:r>
        <w:t>Intermittierende Hypoxie-Hyperoxie-Exposition ist in HF-Patienten sicher und führt zu Verbesserungen der Blutdruckregulation und Körperzusammensetzung</w:t>
      </w:r>
    </w:p>
    <w:p>
      <w:r>
        <w:rPr>
          <w:i/>
          <w:color w:val="666666"/>
          <w:sz w:val="18"/>
        </w:rPr>
        <w:t>Bekfani T et al.  ·  ESC Heart Fail  ·  04.09.2026  ·  PMID 42695491</w:t>
      </w:r>
    </w:p>
    <w:p>
      <w:r>
        <w:t>Pilot-Feasibility-Studie mit 9 HF-Patienten (5 HFpEF, 4 HFrEF), die eine 10-wöchige individualisierte Intervention mit wiederholtem Höhentrainingszyklus (IHHE) hinsichtlich Sicherheit und Wirksamkeit auf Trainingskapazität und Lebensqualität untersucht hat.</w:t>
      </w:r>
    </w:p>
    <w:p>
      <w:r>
        <w:rPr>
          <w:b/>
        </w:rPr>
        <w:t xml:space="preserve">Ergebnis: </w:t>
      </w:r>
      <w:r>
        <w:t>IHHE war sicher und gut verträglich (Adhärenz 95 %), keine unerwünschten Ereignisse. Signifikante Reduktionen des systolischen (β=−5,95 mmHg) und diastolischen Blutdrucks (β=−3,74 mmHg) über 10 Wochen (p&lt;0,001). Fettmassenindex sank (9,32 vs. 8,92 kg/m², p=0,031), viszerales Fett sank (127,6 vs. 121,9 cm², p=0,005), numerische Trends zu besserem Peak VO₂ (+300 mL/min) und 6MWT (+22 m), keine QoL-Verbesserung beobachtet.</w:t>
      </w:r>
    </w:p>
    <w:p>
      <w:r>
        <w:rPr>
          <w:b/>
          <w:sz w:val="19"/>
        </w:rPr>
        <w:t xml:space="preserve">Übertragbarkeit: </w:t>
      </w:r>
      <w:r>
        <w:rPr>
          <w:sz w:val="19"/>
        </w:rPr>
        <w:t>Deutschland: Universitätsklinik Magdeburg mit europäischen Zentren; Machbarkeitsstudie für RCT-Vorbereitung.</w:t>
      </w:r>
    </w:p>
    <w:p>
      <w:r>
        <w:rPr>
          <w:color w:val="5A7D3A"/>
          <w:sz w:val="18"/>
        </w:rPr>
        <w:t>https://pubmed.ncbi.nlm.nih.gov/42695491/</w:t>
      </w:r>
    </w:p>
    <w:p>
      <w:pPr>
        <w:pStyle w:val="Heading2"/>
      </w:pPr>
      <w:r>
        <w:t>Kontinuierlich erhöhte Ketonkörper im Plasma sind mit ungünstigen Ereignissen in Herzinsuffizienz verbunden</w:t>
      </w:r>
    </w:p>
    <w:p>
      <w:r>
        <w:rPr>
          <w:i/>
          <w:color w:val="666666"/>
          <w:sz w:val="18"/>
        </w:rPr>
        <w:t>Palm CL et al.  ·  Clin Res Cardiol  ·  31.08.2026  ·  PMID 42671454</w:t>
      </w:r>
    </w:p>
    <w:p>
      <w:r>
        <w:t>Prospektive Kohortenstudie (TRIUMPH und Bio-SHiFT) mit 467 und 397 HF-Patienten, die durch Joint-Modeling wiederholte Plasma-Ketonkörper-Messungen und Zusammenhänge mit Tod/HF-Rehospitalisierung analysiert hat.</w:t>
      </w:r>
    </w:p>
    <w:p>
      <w:r>
        <w:rPr>
          <w:b/>
        </w:rPr>
        <w:t xml:space="preserve">Ergebnis: </w:t>
      </w:r>
      <w:r>
        <w:t>TRIUMPH: bei Verdopplung der Gesamt-Ketonkörper HR 2,10 (95%-KI 1,27–3,71) für kombiniertes Ereignis nach Anpassung. Bio-SHiFT: HR 5,36 (2,18–14,0) für Ketonkörper bei Studienendpunkt. Patienten mit Ereignissen zeigten durchgehend höhere Ketonkörper, was anhaltenden metabolischen Stress widerspiegelt.</w:t>
      </w:r>
    </w:p>
    <w:p>
      <w:r>
        <w:rPr>
          <w:b/>
          <w:sz w:val="19"/>
        </w:rPr>
        <w:t xml:space="preserve">Übertragbarkeit: </w:t>
      </w:r>
      <w:r>
        <w:rPr>
          <w:sz w:val="19"/>
        </w:rPr>
        <w:t>Niederländisch-deutsche Studienzentren; vergleichbar mit deutschen Kliniken in Struktur und Verfolgung.</w:t>
      </w:r>
    </w:p>
    <w:p>
      <w:r>
        <w:rPr>
          <w:color w:val="5A7D3A"/>
          <w:sz w:val="18"/>
        </w:rPr>
        <w:t>https://pubmed.ncbi.nlm.nih.gov/42671454/</w:t>
      </w:r>
    </w:p>
    <w:p>
      <w:pPr>
        <w:pStyle w:val="Heading1"/>
      </w:pPr>
      <w:r>
        <w:t>Aufgenommen am 10.09.2026</w:t>
      </w:r>
    </w:p>
    <w:p>
      <w:pPr>
        <w:pStyle w:val="Heading2"/>
      </w:pPr>
      <w:r>
        <w:t>Selektive Adipokinmodulierung verbessert HFpEF-Parameter stärker als Hämodynamik-Targeting</w:t>
      </w:r>
    </w:p>
    <w:p>
      <w:r>
        <w:rPr>
          <w:i/>
          <w:color w:val="666666"/>
          <w:sz w:val="18"/>
        </w:rPr>
        <w:t>Packer M et al.  ·  JACC Heart Fail  ·  08.09.2026  ·  PMID 42714366</w:t>
      </w:r>
    </w:p>
    <w:p>
      <w:r>
        <w:t>Analyse von HFpEF-Patienten (veröffentlichtes abstract, methodische Fokusstudie), Vergleich der Effekte von gerichteter Adipokinmodulation versus traditioneller hämodynamischer Therapieoptimierung.</w:t>
      </w:r>
    </w:p>
    <w:p>
      <w:r>
        <w:rPr>
          <w:b/>
        </w:rPr>
        <w:t xml:space="preserve">Ergebnis: </w:t>
      </w:r>
      <w:r>
        <w:t>Gezielte Adipokinmodulation führte zu messbaren Verbesserungen der linksventrikulären Funktion und Struktur; Hämodynamik-only-Ansätze zeigten weniger Benefit. Hinweis auf Bedeutung inflammatorischer und metabolischer Pathways bei HFpEF.</w:t>
      </w:r>
    </w:p>
    <w:p>
      <w:r>
        <w:rPr>
          <w:b/>
          <w:sz w:val="19"/>
        </w:rPr>
        <w:t xml:space="preserve">Übertragbarkeit: </w:t>
      </w:r>
      <w:r>
        <w:rPr>
          <w:sz w:val="19"/>
        </w:rPr>
        <w:t>Mechanismusstudie, USA-Setting, aber adipokine Targets sind universell relevant.</w:t>
      </w:r>
    </w:p>
    <w:p>
      <w:r>
        <w:rPr>
          <w:color w:val="5A7D3A"/>
          <w:sz w:val="18"/>
        </w:rPr>
        <w:t>https://pubmed.ncbi.nlm.nih.gov/42714366/</w:t>
      </w:r>
    </w:p>
    <w:p>
      <w:pPr>
        <w:pStyle w:val="Heading2"/>
      </w:pPr>
      <w:r>
        <w:t>Kombinierte Pulmonalvenenisolation und Vorhofohrkauerstöpselung mit gepulstem Feldablation ist sicher und wirksam</w:t>
      </w:r>
    </w:p>
    <w:p>
      <w:r>
        <w:rPr>
          <w:i/>
          <w:color w:val="666666"/>
          <w:sz w:val="18"/>
        </w:rPr>
        <w:t>Heeger CH et al.  ·  Europace  ·  02.09.2026  ·  PMID 42713747</w:t>
      </w:r>
    </w:p>
    <w:p>
      <w:r>
        <w:t>Retrospektive multizentrische Registerstudie zu 155 Patienten aus neun europäischen Ländern, die sich einer gleichzeitigen gepulsten Feldablation-basierten Pulmonalvenenisolation und Vorhofohrkauerstöpselung unterzogen.</w:t>
      </w:r>
    </w:p>
    <w:p>
      <w:r>
        <w:rPr>
          <w:b/>
        </w:rPr>
        <w:t xml:space="preserve">Ergebnis: </w:t>
      </w:r>
      <w:r>
        <w:t>Primärer Wirksamkeitsendpunkt erreicht bei 97,4 % (PVI erfolgreich 100 %, Verschluss 97,4 %), ernsthafte Nebenwirkungen bei 1,9 %. Sinusrhythmus bei 78,1 % der Patienten mit Follow-up &gt;6 Monate. Eine seltene Komplikation; insgesamt ein praxisrelevantes, kombiniertes Verfahren.</w:t>
      </w:r>
    </w:p>
    <w:p>
      <w:r>
        <w:rPr>
          <w:b/>
          <w:sz w:val="19"/>
        </w:rPr>
        <w:t xml:space="preserve">Übertragbarkeit: </w:t>
      </w:r>
      <w:r>
        <w:rPr>
          <w:sz w:val="19"/>
        </w:rPr>
        <w:t>Multinationale europäische Zentren, deutsche Standorte beteiligt, vergleichbare Strukturen.</w:t>
      </w:r>
    </w:p>
    <w:p>
      <w:r>
        <w:rPr>
          <w:color w:val="5A7D3A"/>
          <w:sz w:val="18"/>
        </w:rPr>
        <w:t>https://pubmed.ncbi.nlm.nih.gov/42713747/</w:t>
      </w:r>
    </w:p>
    <w:p>
      <w:pPr>
        <w:pStyle w:val="Heading2"/>
      </w:pPr>
      <w:r>
        <w:t>LGE-Korridore und Hochrisiko-Genotyp vorhersagen Herzrhythmusstörungen in dilatativer Kardiomyopathie besser als EF ≤35 %</w:t>
      </w:r>
    </w:p>
    <w:p>
      <w:r>
        <w:rPr>
          <w:i/>
          <w:color w:val="666666"/>
          <w:sz w:val="18"/>
        </w:rPr>
        <w:t>Ramos-López N et al.  ·  Circulation  ·  08.09.2026  ·  PMID 42708210</w:t>
      </w:r>
    </w:p>
    <w:p>
      <w:r>
        <w:t>Retrospektive multizentrische europäische Studie mit 925 Patienten mit nichtischämischer Kardiomyopathie, Analyse von Spätanreicherungsmustern im MRT und genetischen Varianten zur Vorhersage maligner ventrikulärer Arrhythmien.</w:t>
      </w:r>
    </w:p>
    <w:p>
      <w:r>
        <w:rPr>
          <w:b/>
        </w:rPr>
        <w:t xml:space="preserve">Ergebnis: </w:t>
      </w:r>
      <w:r>
        <w:t>Nach Median-Follow-up 5,4 Jahre 95 Ereignisse (10,3 %). Pro Läsionskanal im LGE: Subdistribution Hazard Ratio 1,25 (95 % CI 1,11–1,42; p&lt;0,001). Hochrisikogenotpyen: SHR 2,28 (95 % CI 1,32–3,96; p=0,003). Optimales Cutoff ≥4 Korridore. Fünf-Jahres-C-Index 0,72 vs. 0,57 (EF ≤35 %-Klassifikation).</w:t>
      </w:r>
    </w:p>
    <w:p>
      <w:r>
        <w:rPr>
          <w:b/>
          <w:sz w:val="19"/>
        </w:rPr>
        <w:t xml:space="preserve">Übertragbarkeit: </w:t>
      </w:r>
      <w:r>
        <w:rPr>
          <w:sz w:val="19"/>
        </w:rPr>
        <w:t>22 europäische Zentren, Europa-weite Kooperation, aber spezialisierte CMR/Genetik-Expertise erforderlich.</w:t>
      </w:r>
    </w:p>
    <w:p>
      <w:r>
        <w:rPr>
          <w:color w:val="5A7D3A"/>
          <w:sz w:val="18"/>
        </w:rPr>
        <w:t>https://pubmed.ncbi.nlm.nih.gov/42708210/</w:t>
      </w:r>
    </w:p>
    <w:p>
      <w:pPr>
        <w:pStyle w:val="Heading2"/>
      </w:pPr>
      <w:r>
        <w:t>Lipidsenker-Therapieintensivierung würde in Dänemark 589 Schlaganfälle jährlich verhindern</w:t>
      </w:r>
    </w:p>
    <w:p>
      <w:r>
        <w:rPr>
          <w:i/>
          <w:color w:val="666666"/>
          <w:sz w:val="18"/>
        </w:rPr>
        <w:t>Mohamed AA et al.  ·  Open Heart  ·  07.09.2026  ·  PMID 42705842</w:t>
      </w:r>
    </w:p>
    <w:p>
      <w:r>
        <w:t>Landesweite dänische Kohortenstudie mit 487.962 Patienten mit hohem oder sehr hohem Atheroskleroserisiko, Messung der LDL-Cholesterin-Zielwert-Erreichung und Modellierung der Auswirkungen von Leitlinienimplementierung.</w:t>
      </w:r>
    </w:p>
    <w:p>
      <w:r>
        <w:rPr>
          <w:b/>
        </w:rPr>
        <w:t xml:space="preserve">Ergebnis: </w:t>
      </w:r>
      <w:r>
        <w:t>Aktuelle Zielerreichung Primärprävention 39,8 % (dänisch) bzw. 15,1 % (europäisch), Sekundärprävention 18,8 %. Mit optimaler Umsetzung Steigerung auf 91,9 % (dänisch) bzw. 75,8 % (europäisch). Implementierung würde 589 Schlaganfälle, 491 Herzinfarkte, 581 Revaskularisationen, 196 kardiovaskuläre Todesfälle jährlich verhindern; 15,8 Mio. € Kosteneinsparung.</w:t>
      </w:r>
    </w:p>
    <w:p>
      <w:r>
        <w:rPr>
          <w:b/>
          <w:sz w:val="19"/>
        </w:rPr>
        <w:t xml:space="preserve">Übertragbarkeit: </w:t>
      </w:r>
      <w:r>
        <w:rPr>
          <w:sz w:val="19"/>
        </w:rPr>
        <w:t>Dänemark, vergleichbares nordeuropäisches Versicherungssystem, aber restriktivere PCSK9-Inhibitor-Erstattung.</w:t>
      </w:r>
    </w:p>
    <w:p>
      <w:r>
        <w:rPr>
          <w:color w:val="5A7D3A"/>
          <w:sz w:val="18"/>
        </w:rPr>
        <w:t>https://pubmed.ncbi.nlm.nih.gov/42705842/</w:t>
      </w:r>
    </w:p>
    <w:p>
      <w:pPr>
        <w:pStyle w:val="Heading2"/>
      </w:pPr>
      <w:r>
        <w:t>Temperaturextreme und Herzinsuffizienzeinweisungen in Schweden: Kältewellen erhöhen Risiko um 8,5 %</w:t>
      </w:r>
    </w:p>
    <w:p>
      <w:r>
        <w:rPr>
          <w:i/>
          <w:color w:val="666666"/>
          <w:sz w:val="18"/>
        </w:rPr>
        <w:t>Ni W et al.  ·  J Am Coll Cardiol  ·  01.09.2026  ·  PMID 42683967</w:t>
      </w:r>
    </w:p>
    <w:p>
      <w:r>
        <w:t>Bevölkerungsweite Fall-Crossover-Studie in Schweden mit 482.000 Herzinsuffizienzeinweisungen 2006–2021, Analyse der Assoziation mit Kältephasen und Hitzewellen.</w:t>
      </w:r>
    </w:p>
    <w:p>
      <w:r>
        <w:rPr>
          <w:b/>
        </w:rPr>
        <w:t xml:space="preserve">Ergebnis: </w:t>
      </w:r>
      <w:r>
        <w:t>Kältephasen/niedrigere Temperaturen (lag 2–6 Tage): OR 1,085 für kumulative Assoziation (95 % CI 1,042–1,129). Höhere Temperaturen (lag 0–3): OR 1,009 pro 10-Perzentil-Anstieg (95 % CI 1,006–1,013). Höhere Risiken verzögert bei Kälte, unmittelbar bei Hitze.</w:t>
      </w:r>
    </w:p>
    <w:p>
      <w:r>
        <w:rPr>
          <w:b/>
          <w:sz w:val="19"/>
        </w:rPr>
        <w:t xml:space="preserve">Übertragbarkeit: </w:t>
      </w:r>
      <w:r>
        <w:rPr>
          <w:sz w:val="19"/>
        </w:rPr>
        <w:t>Schweden, aber klimageografische Besonderheiten; Befund temperaturunabhängig übertragbar.</w:t>
      </w:r>
    </w:p>
    <w:p>
      <w:r>
        <w:rPr>
          <w:color w:val="5A7D3A"/>
          <w:sz w:val="18"/>
        </w:rPr>
        <w:t>https://pubmed.ncbi.nlm.nih.gov/42683967/</w:t>
      </w:r>
    </w:p>
    <w:p>
      <w:pPr>
        <w:pStyle w:val="Heading2"/>
      </w:pPr>
      <w:r>
        <w:t>Diabetische Kardiomyopathie: Expertenpapier zur Abgrenzung als eigenständige Erkrankung</w:t>
      </w:r>
    </w:p>
    <w:p>
      <w:r>
        <w:rPr>
          <w:i/>
          <w:color w:val="666666"/>
          <w:sz w:val="18"/>
        </w:rPr>
        <w:t>Seferovic P et al.  ·  Eur Heart J  ·  02.09.2026  ·  PMID 42681860</w:t>
      </w:r>
    </w:p>
    <w:p>
      <w:r>
        <w:t>Expertenkonsensus-Review zur Frage, ob diabetische Kardiomyopathie als eigenständiger Phänotyp zu definieren ist, mit Diskussion von pathophysiologischen Mechanismen und klinischen Implikationen.</w:t>
      </w:r>
    </w:p>
    <w:p>
      <w:r>
        <w:rPr>
          <w:b/>
        </w:rPr>
        <w:t xml:space="preserve">Ergebnis: </w:t>
      </w:r>
      <w:r>
        <w:t>Mehrheitliche Übereinkunft: Diabetische Kardiomyopathie ist ein eigenständiges Syndrom mit charakteristischen Muskel-, Stoffwechsel- und entzündlichen Merkmalen; Unterscheidung von rein ischämischer oder hypertensiver Kardiomyopathie gerechtfertigt. Empfehlung für zukünftige therapeutische Ansätze.</w:t>
      </w:r>
    </w:p>
    <w:p>
      <w:r>
        <w:rPr>
          <w:b/>
          <w:sz w:val="19"/>
        </w:rPr>
        <w:t xml:space="preserve">Übertragbarkeit: </w:t>
      </w:r>
      <w:r>
        <w:rPr>
          <w:sz w:val="19"/>
        </w:rPr>
        <w:t>Expertenkonsens international, Leitlinien-relevant für Diabetes-Kardiologie-Interface in Deutschland.</w:t>
      </w:r>
    </w:p>
    <w:p>
      <w:r>
        <w:rPr>
          <w:color w:val="5A7D3A"/>
          <w:sz w:val="18"/>
        </w:rPr>
        <w:t>https://pubmed.ncbi.nlm.nih.gov/42681860/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Kardiologie</dc:title>
  <dc:subject/>
  <dc:creator>Monitor Versorgungsforschung</dc:creator>
  <cp:keywords/>
  <dc:description>generated by python-docx</dc:description>
  <cp:lastModifiedBy/>
  <cp:revision>1</cp:revision>
  <dcterms:created xsi:type="dcterms:W3CDTF">2026-09-17T06:00:00Z</dcterms:created>
  <dcterms:modified xsi:type="dcterms:W3CDTF">2026-09-17T06:00:00Z</dcterms:modified>
  <cp:category/>
</cp:coreProperties>
</file>