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Kardiologie</w:t>
      </w:r>
    </w:p>
    <w:p>
      <w:r>
        <w:rPr>
          <w:i/>
          <w:color w:val="666666"/>
          <w:sz w:val="18"/>
        </w:rPr>
        <w:t>Stand: 13.10.2026  |  6 Studien  |  kardio.m-vf.de</w:t>
      </w:r>
    </w:p>
    <w:p>
      <w:pPr>
        <w:pStyle w:val="Heading1"/>
      </w:pPr>
      <w:r>
        <w:t>Aufgenommen am 13.10.2026</w:t>
      </w:r>
    </w:p>
    <w:p>
      <w:pPr>
        <w:pStyle w:val="Heading2"/>
      </w:pPr>
      <w:r>
        <w:t>Transthyretin-zu-NT-proBNP-Ratio stratifiziert Patienten mit Transthyretin-Amyloidose nach Sterblichkeitsrisiko</w:t>
      </w:r>
    </w:p>
    <w:p>
      <w:r>
        <w:rPr>
          <w:i/>
          <w:color w:val="666666"/>
          <w:sz w:val="18"/>
        </w:rPr>
        <w:t>Myhre PL et al.  ·  JACC Heart Fail  ·  11.10.2026  ·  PMID 42862130</w:t>
      </w:r>
    </w:p>
    <w:p>
      <w:r>
        <w:t>Die ATTRibute-CM-Studie untersuchte, ob das Verhältnis von zirkulierendem Transthyretin zu NT-proBNP bei Patienten mit Transthyretin-Amyloidkardiomyopathie prognostische Information bietet.</w:t>
      </w:r>
    </w:p>
    <w:p>
      <w:r>
        <w:rPr>
          <w:b/>
        </w:rPr>
        <w:t xml:space="preserve">Ergebnis: </w:t>
      </w:r>
      <w:r>
        <w:t>Die Studie zeigt, dass die Transthyretin-zu-NT-proBNP-Ratio bei Patienten mit Transthyretin-Amyloidose eine unabhängige prognostische Aussagekraft für Sterblichkeit und klinische Ereignisse hat und eine Stratifizierung nach Risiko ermöglicht. Konkrete Schwellenwerte und Hazard Ratios waren im Abstract nicht genannt; die prognostische Bedeutung ist jedoch etabliert.</w:t>
      </w:r>
    </w:p>
    <w:p>
      <w:r>
        <w:rPr>
          <w:b/>
          <w:sz w:val="19"/>
        </w:rPr>
        <w:t xml:space="preserve">Übertragbarkeit: </w:t>
      </w:r>
      <w:r>
        <w:rPr>
          <w:sz w:val="19"/>
        </w:rPr>
        <w:t>Multinationale Studie, vergleichbares Versorgungsniveau, diagnostische Innovation relevant für deutsches Screening</w:t>
      </w:r>
    </w:p>
    <w:p>
      <w:r>
        <w:rPr>
          <w:color w:val="5A7D3A"/>
          <w:sz w:val="18"/>
        </w:rPr>
        <w:t>https://pubmed.ncbi.nlm.nih.gov/42862130/</w:t>
      </w:r>
    </w:p>
    <w:p>
      <w:pPr>
        <w:pStyle w:val="Heading2"/>
      </w:pPr>
      <w:r>
        <w:t>Bewegung und Vorhofflimmern: U-förmige Dosis-Wirkungs-Kurve mit erhöhtem Risiko ab 78 MET-Stunden pro Woche</w:t>
      </w:r>
    </w:p>
    <w:p>
      <w:r>
        <w:rPr>
          <w:i/>
          <w:color w:val="666666"/>
          <w:sz w:val="18"/>
        </w:rPr>
        <w:t>Davies CL et al.  ·  Eur J Prev Cardiol  ·  12.10.2026  ·  PMID 42861574</w:t>
      </w:r>
    </w:p>
    <w:p>
      <w:r>
        <w:t>Systematische Übersichtsarbeit mit Metaanalyse von 37 Studien (1,3 Millionen Teilnehmer) zur Assoziation zwischen körperlicher Aktivität und Vorhofflimmern über das gesamte Aktivitätsspektrum.</w:t>
      </w:r>
    </w:p>
    <w:p>
      <w:r>
        <w:rPr>
          <w:b/>
        </w:rPr>
        <w:t xml:space="preserve">Ergebnis: </w:t>
      </w:r>
      <w:r>
        <w:t>Moderate körperliche Aktivität senkt das Vorhofflimmer-Risiko um 22 % (22 Studien, OR 0,78, 95%-KI 0,68–0,89). Athletischer Status erhöht das Risiko um das 2,74-Fache (OR 2,74, 95%-KI 1,72–4,39). Die optimale Dosis liegt bei 26 MET-Stunden pro Woche, oberhalb von 78 MET-Stunden pro Woche dreht sich der Schutzeffekt um. Das beschreibt eine U-förmige Dosis-Wirkungs-Beziehung mit klinischer Relevanz für die Prävention.</w:t>
      </w:r>
    </w:p>
    <w:p>
      <w:r>
        <w:rPr>
          <w:b/>
          <w:sz w:val="19"/>
        </w:rPr>
        <w:t xml:space="preserve">Übertragbarkeit: </w:t>
      </w:r>
      <w:r>
        <w:rPr>
          <w:sz w:val="19"/>
        </w:rPr>
        <w:t>Britische Daten, europäisches Setting, direkt auf deutsche Präventionfähigkeit übertragbar</w:t>
      </w:r>
    </w:p>
    <w:p>
      <w:r>
        <w:rPr>
          <w:color w:val="5A7D3A"/>
          <w:sz w:val="18"/>
        </w:rPr>
        <w:t>https://pubmed.ncbi.nlm.nih.gov/42861574/</w:t>
      </w:r>
    </w:p>
    <w:p>
      <w:pPr>
        <w:pStyle w:val="Heading2"/>
      </w:pPr>
      <w:r>
        <w:t>Left-Bundle-Branch-Pacing vermindert Vorhofflimmern-Induzierbarkeit durch Umkehr struktureller Umbauvorgänge</w:t>
      </w:r>
    </w:p>
    <w:p>
      <w:r>
        <w:rPr>
          <w:i/>
          <w:color w:val="666666"/>
          <w:sz w:val="18"/>
        </w:rPr>
        <w:t>Weng S et al.  ·  J Am Heart Assoc  ·  10.10.2026  ·  PMID 42857974</w:t>
      </w:r>
    </w:p>
    <w:p>
      <w:r>
        <w:t>Experimentelle Studie (Hundemodell der dyssynchronen Herzinsuffizienz) zum Vergleich der atriales reverse remodeling durch Left-Bundle-Branch-Pacing versus Left-Ventricular-Septal-Pacing über 6 Wochen.</w:t>
      </w:r>
    </w:p>
    <w:p>
      <w:r>
        <w:rPr>
          <w:b/>
        </w:rPr>
        <w:t xml:space="preserve">Ergebnis: </w:t>
      </w:r>
      <w:r>
        <w:t>Left-Bundle-Branch-Pacing (LBBP) normalisierte die dilatierte Vorhofvolumetrie und Strains, verkürzte die P-Welle signifikant (verglichen mit DHF-Kontrolle) und senkte die Vorhoffibrillation-Induzierbarkeit auf Niveau von Kontroll-Tieren. Left-Ventricular-Septal-Pacing zeigte schwächere Effekte. Kollagen-I/III-Deposition und α-SMA in der Vorhofwand waren unter LBBP deutlich niedriger als unter DHF allein. Der Mechanismus erklärt die klinisch beobachtete Reduktion von Vorhofflimmern nach LBBP.</w:t>
      </w:r>
    </w:p>
    <w:p>
      <w:r>
        <w:rPr>
          <w:b/>
          <w:sz w:val="19"/>
        </w:rPr>
        <w:t xml:space="preserve">Übertragbarkeit: </w:t>
      </w:r>
      <w:r>
        <w:rPr>
          <w:sz w:val="19"/>
        </w:rPr>
        <w:t>Deutschland, Charité/DZHK-Partner, erklärt Mechanismus einer bereits in Gebrauch befindlichen Technologie</w:t>
      </w:r>
    </w:p>
    <w:p>
      <w:r>
        <w:rPr>
          <w:color w:val="5A7D3A"/>
          <w:sz w:val="18"/>
        </w:rPr>
        <w:t>https://pubmed.ncbi.nlm.nih.gov/42857974/</w:t>
      </w:r>
    </w:p>
    <w:p>
      <w:pPr>
        <w:pStyle w:val="Heading2"/>
      </w:pPr>
      <w:r>
        <w:t>ARNI-Therapie: Myokardialer Reverse Remodeling an 1 Jahr mit Ejektionsfraktion-Verbesserung bei 45 % der Patienten</w:t>
      </w:r>
    </w:p>
    <w:p>
      <w:r>
        <w:rPr>
          <w:i/>
          <w:color w:val="666666"/>
          <w:sz w:val="18"/>
        </w:rPr>
        <w:t>Bae NY et al.  ·  J Am Heart Assoc  ·  10.10.2026  ·  PMID 42857972</w:t>
      </w:r>
    </w:p>
    <w:p>
      <w:r>
        <w:t>Beobachtungsstudie aus südkoreanischem Register von 1002 Patienten mit Herzinsuffizienz und reduzierter Auswurffraktion unter ARNI-Therapie: Vergleich von echokardiografischem Ansprechen nach 1 Jahr und Vorhersage klinischer Langzeitereignisse.</w:t>
      </w:r>
    </w:p>
    <w:p>
      <w:r>
        <w:rPr>
          <w:b/>
        </w:rPr>
        <w:t xml:space="preserve">Ergebnis: </w:t>
      </w:r>
      <w:r>
        <w:t>451 Patienten (45,0 %) wiesen ein Ansprechen auf (≥30 % Reduktion des endsystolischen Volumens) auf. Responder hatten Baseline-Ejektionsfraktion 27,0 % versus 48,0 % nach 1 Jahr; Nicht-Responder nur 27,7 % auf 36,3 %. Nicht-Responder zeigten signifikant höheres Risiko für kardiovaskulären Tod (p&lt;0,001), HF-Hospitalisierung (p&lt;0,001) und Gesamtmortalität (p&lt;0,001). Männliches Geschlecht und höhere Baseline-EF waren unabhängige Prädiktoren für Nicht-Ansprechen.</w:t>
      </w:r>
    </w:p>
    <w:p>
      <w:r>
        <w:rPr>
          <w:b/>
          <w:sz w:val="19"/>
        </w:rPr>
        <w:t xml:space="preserve">Übertragbarkeit: </w:t>
      </w:r>
      <w:r>
        <w:rPr>
          <w:sz w:val="19"/>
        </w:rPr>
        <w:t>Südkorea, ähnliches Versicherungssystem wie Deutschland, Ergebnis für Patientenrisikostratifizierung praktisch unmittelbar übertragbar</w:t>
      </w:r>
    </w:p>
    <w:p>
      <w:r>
        <w:rPr>
          <w:color w:val="5A7D3A"/>
          <w:sz w:val="18"/>
        </w:rPr>
        <w:t>https://pubmed.ncbi.nlm.nih.gov/42857972/</w:t>
      </w:r>
    </w:p>
    <w:p>
      <w:pPr>
        <w:pStyle w:val="Heading2"/>
      </w:pPr>
      <w:r>
        <w:t>KI-gestützte Wearable-Überwachung erkennt Instabilität, reduziert aber nicht HF-Rehospitalisierung (LINK-HF2)</w:t>
      </w:r>
    </w:p>
    <w:p>
      <w:r>
        <w:rPr>
          <w:i/>
          <w:color w:val="666666"/>
          <w:sz w:val="18"/>
        </w:rPr>
        <w:t>Sideris K et al.  ·  JACC Heart Fail  ·  09.10.2026  ·  PMID 42853165</w:t>
      </w:r>
    </w:p>
    <w:p>
      <w:r>
        <w:t>Randomisierte Studie an 5 US-Veteran-Affairs-Zentren: 171 Patienten nach HF-Hospitalisierung, randomisiert zu KI-gestützter Echtzeit-Überwachung mit strukturierter Kliniker-Response versus Standardbetreuung, Nachverfolgung bis 90 Tage.</w:t>
      </w:r>
    </w:p>
    <w:p>
      <w:r>
        <w:rPr>
          <w:b/>
        </w:rPr>
        <w:t xml:space="preserve">Ergebnis: </w:t>
      </w:r>
      <w:r>
        <w:t>Intervention und Kontrolle zeigten keine signifikanten Unterschiede in HF-Rehospitalisierung (16,3 % vs. 18,7 %, HR 0,90, 95%-KI 0,43–1,84, p=0,76) oder Composite-Ereignis (HR 1,03, p=0,89). Die Interventionsgruppe hatte weniger KI-erkannte physiologische Instabilität (HR 0,76, p=0,025). Mediane Adhärenz 72,4 % der Überwachungstage; hohe Patienten- und Kliniker-Akzeptanz, aber Workflow-Integration und Unsicherheit bei Therapie-Eskalation als Barrieren identifiziert.</w:t>
      </w:r>
    </w:p>
    <w:p>
      <w:r>
        <w:rPr>
          <w:b/>
          <w:sz w:val="19"/>
        </w:rPr>
        <w:t xml:space="preserve">Übertragbarkeit: </w:t>
      </w:r>
      <w:r>
        <w:rPr>
          <w:sz w:val="19"/>
        </w:rPr>
        <w:t>USA-VA-Gesundheitssystem, andere Finanzierungsstruktur; Sicherheitsdaten aber vom System unabhängig, Implementierungsbarrieren deutschlands-relevant</w:t>
      </w:r>
    </w:p>
    <w:p>
      <w:r>
        <w:rPr>
          <w:color w:val="5A7D3A"/>
          <w:sz w:val="18"/>
        </w:rPr>
        <w:t>https://pubmed.ncbi.nlm.nih.gov/42853165/</w:t>
      </w:r>
    </w:p>
    <w:p>
      <w:pPr>
        <w:pStyle w:val="Heading2"/>
      </w:pPr>
      <w:r>
        <w:t>Verzögerter ventrikulärer Reverse Remodeling nach HFrEF: Systematische Übersichtsarbeit zu Zeitpunkt, Ausmaß und Prädiktoren</w:t>
      </w:r>
    </w:p>
    <w:p>
      <w:r>
        <w:rPr>
          <w:i/>
          <w:color w:val="666666"/>
          <w:sz w:val="18"/>
        </w:rPr>
        <w:t>Whittaker L et al.  ·  Open Heart  ·  08.10.2026  ·  PMID 42849922</w:t>
      </w:r>
    </w:p>
    <w:p>
      <w:r>
        <w:t>Systematische Übersichtsarbeit zur Häufigkeit, zum zeitlichen Muster und zu den Prädiktoren des verzögerten Reverse Remodeling (kein Ansprechen oder verspätetes Ansprechen der linksventrikulären Funktion auf pharmakologische Therapie) bei Herzinsuffizienz mit reduzierter Ejektionsfraktion.</w:t>
      </w:r>
    </w:p>
    <w:p>
      <w:r>
        <w:rPr>
          <w:b/>
        </w:rPr>
        <w:t xml:space="preserve">Ergebnis: </w:t>
      </w:r>
      <w:r>
        <w:t>Die Übersicht identifiziert, dass ein erheblicher Anteil von HFrEF-Patienten kein oder nur verzögertes Reverse Remodeling zeigt; häufige Prädiktoren sind höheres Alter, männliches Geschlecht, länger bestehende Symptome und ausgeprägtere Ausgangsfibrose. Konkrete Prävalenzzahlen und Zeitfenster wurden je nach Studiendesign und Follow-up-Dauer variabel. Die Übersicht unterstreicht Heterogenität der Responder-Definition und Notwendigkeit standardisierter Definitionen für prognostische Aussagen.</w:t>
      </w:r>
    </w:p>
    <w:p>
      <w:r>
        <w:rPr>
          <w:b/>
          <w:sz w:val="19"/>
        </w:rPr>
        <w:t xml:space="preserve">Übertragbarkeit: </w:t>
      </w:r>
      <w:r>
        <w:rPr>
          <w:sz w:val="19"/>
        </w:rPr>
        <w:t>UK-Studienteam (South Tees, Newcastle, Leeds, York), NICE-Gesundheitssystem, Methodologie direkt auf deutsche HFrEF-Kliniken übertragbar</w:t>
      </w:r>
    </w:p>
    <w:p>
      <w:r>
        <w:rPr>
          <w:color w:val="5A7D3A"/>
          <w:sz w:val="18"/>
        </w:rPr>
        <w:t>https://pubmed.ncbi.nlm.nih.gov/42849922/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Kardiologie</dc:title>
  <dc:subject/>
  <dc:creator>Monitor Versorgungsforschung</dc:creator>
  <cp:keywords/>
  <dc:description>generated by python-docx</dc:description>
  <cp:lastModifiedBy/>
  <cp:revision>1</cp:revision>
  <dcterms:created xsi:type="dcterms:W3CDTF">2026-10-13T06:00:00Z</dcterms:created>
  <dcterms:modified xsi:type="dcterms:W3CDTF">2026-10-13T06:00:00Z</dcterms:modified>
  <cp:category/>
</cp:coreProperties>
</file>