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27.09.2026  |  6 Studien  |  kardio.m-vf.de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Intrakoronares Adenosin reduziert No-Reflow beim akuten Herzinfarkt: randomisierte Studie mit funktionellen Verbesserungen</w:t>
      </w:r>
    </w:p>
    <w:p>
      <w:r>
        <w:rPr>
          <w:i/>
          <w:color w:val="666666"/>
          <w:sz w:val="18"/>
        </w:rPr>
        <w:t>Saad A et al.  ·  Am J Cardiol  ·  26.09.2026  ·  PMID 42800528</w:t>
      </w:r>
    </w:p>
    <w:p>
      <w:r>
        <w:t>RCT zur Frage, ob intrakoronares Adenosin nach Erreichung von TIMI-1-Flow die No-Reflow-Rate bei primärer PCI für STEMI senkt und linke Ventrikelfunktion verbessert.</w:t>
      </w:r>
    </w:p>
    <w:p>
      <w:r>
        <w:rPr>
          <w:b/>
        </w:rPr>
        <w:t xml:space="preserve">Ergebnis: </w:t>
      </w:r>
      <w:r>
        <w:t>200 STEMI-Patienten: Adenosin reduzierte No-Reflow (33 % vs. 60 %, p&lt;0,001), erhöhte TIMI-III-Flow (86 % vs. 49 %, p&lt;0,001) und MBG III (68 % vs. 42 %, p=0,003). Post-PCI-EF höher (42,64±8,92 % vs. 38,40±9,34 %, p=0,001), kleinere LV-Volumen. Einfaches Verfahren mit hartem Endpunkt.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Ägyptisch-US-amerikanische Einzelzenter-RCT, Ergebnisse sind methodologisch unabhängig von Gesundheitssystem-Unterschieden übertragbar.</w:t>
      </w:r>
    </w:p>
    <w:p>
      <w:r>
        <w:rPr>
          <w:color w:val="5A7D3A"/>
          <w:sz w:val="18"/>
        </w:rPr>
        <w:t>https://pubmed.ncbi.nlm.nih.gov/42800528/</w:t>
      </w:r>
    </w:p>
    <w:p>
      <w:pPr>
        <w:pStyle w:val="Heading2"/>
      </w:pPr>
      <w:r>
        <w:t>Katheterablation des Vorhofflimmerns nach Vorhofohr-Verschluss: Gerinnungsmanagement bei hohem Blutungsrisiko sicher möglich</w:t>
      </w:r>
    </w:p>
    <w:p>
      <w:r>
        <w:rPr>
          <w:i/>
          <w:color w:val="666666"/>
          <w:sz w:val="18"/>
        </w:rPr>
        <w:t>Kaplan RM et al.  ·  Europace  ·  25.09.2026  ·  PMID 42786895</w:t>
      </w:r>
    </w:p>
    <w:p>
      <w:r>
        <w:t>Multizentrische Analyse zur Sicherheit und Wirksamkeit der Vorhofflimmern-Ablation bei Patienten mit vorhandenem Linksvorhofohr-Verschlussgerät und Blutungsrisiko.</w:t>
      </w:r>
    </w:p>
    <w:p>
      <w:r>
        <w:rPr>
          <w:b/>
        </w:rPr>
        <w:t xml:space="preserve">Ergebnis: </w:t>
      </w:r>
      <w:r>
        <w:t>Bei 198 Patienten (Median 271 Tage nach Devices-Implantation) zeigten sich nach Ablation in 84 % eine orale Antikoagulation, Blutungskomplikationen bei 6,7 %, Schlaganfall/TIA bei 2,6 %; neue/verschlimmerte Peridevice-Lecks bei nur 2 Fällen. Ablation war machbar, geräteassoziierte Komplikationen selten.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Registerdaten aus Europa und Nordamerika – Ergebnisse übertragbar auf europäische Versorgungsrealität.</w:t>
      </w:r>
    </w:p>
    <w:p>
      <w:r>
        <w:rPr>
          <w:color w:val="5A7D3A"/>
          <w:sz w:val="18"/>
        </w:rPr>
        <w:t>https://pubmed.ncbi.nlm.nih.gov/42786895/</w:t>
      </w:r>
    </w:p>
    <w:p>
      <w:pPr>
        <w:pStyle w:val="Heading2"/>
      </w:pPr>
      <w:r>
        <w:t>Koronaraneurysma bei Kawasaki-Krankheit: akutes Koronarsyndrom vom Säugling bis zum Erwachsenen</w:t>
      </w:r>
    </w:p>
    <w:p>
      <w:r>
        <w:rPr>
          <w:i/>
          <w:color w:val="666666"/>
          <w:sz w:val="18"/>
        </w:rPr>
        <w:t>Jone PN et al.  ·  Circulation  ·  22.09.2026  ·  PMID 42766690</w:t>
      </w:r>
    </w:p>
    <w:p>
      <w:r>
        <w:t>Narrativ review zur epidemiologiologischen und pathophysiologischen Grundlage sowie Managementoptionen des koronaren Syndroms bei Kawasaki-Krankheit über die gesamte Lebensspanne.</w:t>
      </w:r>
    </w:p>
    <w:p>
      <w:r>
        <w:rPr>
          <w:b/>
        </w:rPr>
        <w:t xml:space="preserve">Ergebnis: </w:t>
      </w:r>
      <w:r>
        <w:t>Review synthetisiert aktuelle Evidenz zu Koronaraneurysmen, Bildgebung, interventionellen Techniken und Antithrombose sowie Post-ACS-Überwachung bei Kawasaki-Krankheit. Koordinierte Zusammenarbeit pädiatrischer und erwachsener Kardiologen wird als notwendig hervorgehoben.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Klinisches Übersichtswerk; Empfehlungen basieren auf internationaler Leitlinienliteratur.</w:t>
      </w:r>
    </w:p>
    <w:p>
      <w:r>
        <w:rPr>
          <w:color w:val="5A7D3A"/>
          <w:sz w:val="18"/>
        </w:rPr>
        <w:t>https://pubmed.ncbi.nlm.nih.gov/42766690/</w:t>
      </w:r>
    </w:p>
    <w:p>
      <w:pPr>
        <w:pStyle w:val="Heading2"/>
      </w:pPr>
      <w:r>
        <w:t>Neue mechanische Kreislaufunterstützung beim kardiogenen Schock: technische Innovation und klinische Evidenz</w:t>
      </w:r>
    </w:p>
    <w:p>
      <w:r>
        <w:rPr>
          <w:i/>
          <w:color w:val="666666"/>
          <w:sz w:val="18"/>
        </w:rPr>
        <w:t>Thiele H et al.  ·  Circ Heart Fail  ·  15.09.2026  ·  PMID 42743344</w:t>
      </w:r>
    </w:p>
    <w:p>
      <w:r>
        <w:t>Review aktueller und erzeugender Technologien für temporäre mechanische Unterstützungssysteme in kardiogenem Schock und hochriskanten Herzkatheterintervention.</w:t>
      </w:r>
    </w:p>
    <w:p>
      <w:r>
        <w:rPr>
          <w:b/>
        </w:rPr>
        <w:t xml:space="preserve">Ergebnis: </w:t>
      </w:r>
      <w:r>
        <w:t>Neuere Systeme ermöglichen höhere kardiale Leistung bei limitierten vaskulären Zugängen und verbesserter Blutverträglichkeit; aktuelle Systeme bleiben durch Gefäßkomplikationen, Hämolyse und unsicheren Überlebensvorteil begrenzt. Technologie und Indikationen werden systematisch übersichtlich gemacht.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Review der verfügbaren Evidenz aus klinischen Studien und Registern – Grundlage für Behandlungsentscheidungen.</w:t>
      </w:r>
    </w:p>
    <w:p>
      <w:r>
        <w:rPr>
          <w:color w:val="5A7D3A"/>
          <w:sz w:val="18"/>
        </w:rPr>
        <w:t>https://pubmed.ncbi.nlm.nih.gov/42743344/</w:t>
      </w:r>
    </w:p>
    <w:p>
      <w:pPr>
        <w:pStyle w:val="Heading2"/>
      </w:pPr>
      <w:r>
        <w:t>Atrialer Elektrotransport bei Menschen und Tieren: Vergleich für bessere Translation bei Vorhofflimmern</w:t>
      </w:r>
    </w:p>
    <w:p>
      <w:r>
        <w:rPr>
          <w:i/>
          <w:color w:val="666666"/>
          <w:sz w:val="18"/>
        </w:rPr>
        <w:t>Paasche A et al.  ·  J Am Heart Assoc  ·  15.09.2026  ·  PMID 42714435</w:t>
      </w:r>
    </w:p>
    <w:p>
      <w:r>
        <w:t>Systematische Charakterisierung der speziesspezifischen Elektro physiologie in Atrien von Menschen, Mäusen, Ratten, Schweinen und Pferden mittels einheitlicher Protokolle mit in-silico-Modellierung.</w:t>
      </w:r>
    </w:p>
    <w:p>
      <w:r>
        <w:rPr>
          <w:b/>
        </w:rPr>
        <w:t xml:space="preserve">Ergebnis: </w:t>
      </w:r>
      <w:r>
        <w:t>Schweineatrien ähneln menschlichen Zellen in Depolarisierungsmerkmalen stark, Nager unterscheiden sich deutlich. Menschliches frühes Repolarisierungsmuster korrelierte mit höherem IKur-Beitrag; späte Repolarisierung skalierte mit Species. Geschlechtsunterschiede traten in Menschen und Schweinen, nicht in Nagern auf. In-silico-Simulationen zeigten Chamber-spezifische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Forschungsinstitutionen (Heidelberg, Göttingen, Karlsruhe); Referenzdaten verbesserter Übersetzbarkeit tierexperimenteller Befunde.</w:t>
      </w:r>
    </w:p>
    <w:p>
      <w:r>
        <w:rPr>
          <w:color w:val="5A7D3A"/>
          <w:sz w:val="18"/>
        </w:rPr>
        <w:t>https://pubmed.ncbi.nlm.nih.gov/42714435/</w:t>
      </w:r>
    </w:p>
    <w:p>
      <w:pPr>
        <w:pStyle w:val="Heading2"/>
      </w:pPr>
      <w:r>
        <w:t>Herzinsuffizienz 2026: neue Mechanismen, Phänotypen und therapeutische Innovationen im Überblick</w:t>
      </w:r>
    </w:p>
    <w:p>
      <w:r>
        <w:rPr>
          <w:i/>
          <w:color w:val="666666"/>
          <w:sz w:val="18"/>
        </w:rPr>
        <w:t>Liguori V et al.  ·  ESC Heart Fail  ·  01.09.2026  ·  PMID 42679357</w:t>
      </w:r>
    </w:p>
    <w:p>
      <w:r>
        <w:t>Aktualisierte Übersicht wissenschaftlicher Fortschritte in Epidemiologie, Pathophysiologie, Diagnostik und Therapie der Herzinsuffizienz nach neuem Universal-Schema.</w:t>
      </w:r>
    </w:p>
    <w:p>
      <w:r>
        <w:rPr>
          <w:b/>
        </w:rPr>
        <w:t xml:space="preserve">Ergebnis: </w:t>
      </w:r>
      <w:r>
        <w:t>Neues Klassifikationsrahmenwerk jenseits Ejektionsfraktion: HFrEF und HFpEF; mechanistische Einblicke in Entzündung, Immunaktivierung, Metabolismus, Mitochondrien; Fortschritt bei Komorbiditäten (CKD, Diabetes, Adipositas, AF, PH, Frailty). Diagnostik: Biomarker, Multi-Omics, KI, erweiterte Bildgebung. Therapeutische Evidenz bei SGLT2-Hemmern, Finerenone, GLP-1, Katheterventilinterventionen.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Leitlinienarbeit (ESC) – direkte Übertragbarkeit auf deutsche Versorgung und Leitlinienentwicklung.</w:t>
      </w:r>
    </w:p>
    <w:p>
      <w:r>
        <w:rPr>
          <w:color w:val="5A7D3A"/>
          <w:sz w:val="18"/>
        </w:rPr>
        <w:t>https://pubmed.ncbi.nlm.nih.gov/42679357/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