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Kardiologie</w:t>
      </w:r>
    </w:p>
    <w:p>
      <w:r>
        <w:rPr>
          <w:i/>
          <w:color w:val="666666"/>
          <w:sz w:val="18"/>
        </w:rPr>
        <w:t>Stand: 27.09.2026  |  101 Studien  |  kardio.m-vf.de</w:t>
      </w:r>
    </w:p>
    <w:p>
      <w:pPr>
        <w:pStyle w:val="Heading1"/>
      </w:pPr>
      <w:r>
        <w:t>Aufgenommen am 27.09.2026</w:t>
      </w:r>
    </w:p>
    <w:p>
      <w:pPr>
        <w:pStyle w:val="Heading2"/>
      </w:pPr>
      <w:r>
        <w:t>Intrakoronares Adenosin reduziert No-Reflow beim akuten Herzinfarkt: randomisierte Studie mit funktionellen Verbesserungen</w:t>
      </w:r>
    </w:p>
    <w:p>
      <w:r>
        <w:rPr>
          <w:i/>
          <w:color w:val="666666"/>
          <w:sz w:val="18"/>
        </w:rPr>
        <w:t>Saad A et al.  ·  Am J Cardiol  ·  26.09.2026  ·  PMID 42800528</w:t>
      </w:r>
    </w:p>
    <w:p>
      <w:r>
        <w:t>RCT zur Frage, ob intrakoronares Adenosin nach Erreichung von TIMI-1-Flow die No-Reflow-Rate bei primärer PCI für STEMI senkt und linke Ventrikelfunktion verbessert.</w:t>
      </w:r>
    </w:p>
    <w:p>
      <w:r>
        <w:rPr>
          <w:b/>
        </w:rPr>
        <w:t xml:space="preserve">Ergebnis: </w:t>
      </w:r>
      <w:r>
        <w:t>200 STEMI-Patienten: Adenosin reduzierte No-Reflow (33 % vs. 60 %, p&lt;0,001), erhöhte TIMI-III-Flow (86 % vs. 49 %, p&lt;0,001) und MBG III (68 % vs. 42 %, p=0,003). Post-PCI-EF höher (42,64±8,92 % vs. 38,40±9,34 %, p=0,001), kleinere LV-Volumen. Einfaches Verfahren mit hartem Endpunkt.</w:t>
      </w:r>
    </w:p>
    <w:p>
      <w:r>
        <w:rPr>
          <w:b/>
          <w:sz w:val="19"/>
        </w:rPr>
        <w:t xml:space="preserve">Übertragbarkeit: </w:t>
      </w:r>
      <w:r>
        <w:rPr>
          <w:sz w:val="19"/>
        </w:rPr>
        <w:t>Ägyptisch-US-amerikanische Einzelzenter-RCT, Ergebnisse sind methodologisch unabhängig von Gesundheitssystem-Unterschieden übertragbar.</w:t>
      </w:r>
    </w:p>
    <w:p>
      <w:r>
        <w:rPr>
          <w:color w:val="5A7D3A"/>
          <w:sz w:val="18"/>
        </w:rPr>
        <w:t>https://pubmed.ncbi.nlm.nih.gov/42800528/</w:t>
      </w:r>
    </w:p>
    <w:p>
      <w:pPr>
        <w:pStyle w:val="Heading2"/>
      </w:pPr>
      <w:r>
        <w:t>Katheterablation des Vorhofflimmerns nach Vorhofohr-Verschluss: Gerinnungsmanagement bei hohem Blutungsrisiko sicher möglich</w:t>
      </w:r>
    </w:p>
    <w:p>
      <w:r>
        <w:rPr>
          <w:i/>
          <w:color w:val="666666"/>
          <w:sz w:val="18"/>
        </w:rPr>
        <w:t>Kaplan RM et al.  ·  Europace  ·  25.09.2026  ·  PMID 42786895</w:t>
      </w:r>
    </w:p>
    <w:p>
      <w:r>
        <w:t>Multizentrische Analyse zur Sicherheit und Wirksamkeit der Vorhofflimmern-Ablation bei Patienten mit vorhandenem Linksvorhofohr-Verschlussgerät und Blutungsrisiko.</w:t>
      </w:r>
    </w:p>
    <w:p>
      <w:r>
        <w:rPr>
          <w:b/>
        </w:rPr>
        <w:t xml:space="preserve">Ergebnis: </w:t>
      </w:r>
      <w:r>
        <w:t>Bei 198 Patienten (Median 271 Tage nach Devices-Implantation) zeigten sich nach Ablation in 84 % eine orale Antikoagulation, Blutungskomplikationen bei 6,7 %, Schlaganfall/TIA bei 2,6 %; neue/verschlimmerte Peridevice-Lecks bei nur 2 Fällen. Ablation war machbar, geräteassoziierte Komplikationen selten.</w:t>
      </w:r>
    </w:p>
    <w:p>
      <w:r>
        <w:rPr>
          <w:b/>
          <w:sz w:val="19"/>
        </w:rPr>
        <w:t xml:space="preserve">Übertragbarkeit: </w:t>
      </w:r>
      <w:r>
        <w:rPr>
          <w:sz w:val="19"/>
        </w:rPr>
        <w:t>Multizentrische Registerdaten aus Europa und Nordamerika – Ergebnisse übertragbar auf europäische Versorgungsrealität.</w:t>
      </w:r>
    </w:p>
    <w:p>
      <w:r>
        <w:rPr>
          <w:color w:val="5A7D3A"/>
          <w:sz w:val="18"/>
        </w:rPr>
        <w:t>https://pubmed.ncbi.nlm.nih.gov/42786895/</w:t>
      </w:r>
    </w:p>
    <w:p>
      <w:pPr>
        <w:pStyle w:val="Heading2"/>
      </w:pPr>
      <w:r>
        <w:t>Koronaraneurysma bei Kawasaki-Krankheit: akutes Koronarsyndrom vom Säugling bis zum Erwachsenen</w:t>
      </w:r>
    </w:p>
    <w:p>
      <w:r>
        <w:rPr>
          <w:i/>
          <w:color w:val="666666"/>
          <w:sz w:val="18"/>
        </w:rPr>
        <w:t>Jone PN et al.  ·  Circulation  ·  22.09.2026  ·  PMID 42766690</w:t>
      </w:r>
    </w:p>
    <w:p>
      <w:r>
        <w:t>Narrativ review zur epidemiologiologischen und pathophysiologischen Grundlage sowie Managementoptionen des koronaren Syndroms bei Kawasaki-Krankheit über die gesamte Lebensspanne.</w:t>
      </w:r>
    </w:p>
    <w:p>
      <w:r>
        <w:rPr>
          <w:b/>
        </w:rPr>
        <w:t xml:space="preserve">Ergebnis: </w:t>
      </w:r>
      <w:r>
        <w:t>Review synthetisiert aktuelle Evidenz zu Koronaraneurysmen, Bildgebung, interventionellen Techniken und Antithrombose sowie Post-ACS-Überwachung bei Kawasaki-Krankheit. Koordinierte Zusammenarbeit pädiatrischer und erwachsener Kardiologen wird als notwendig hervorgehoben.</w:t>
      </w:r>
    </w:p>
    <w:p>
      <w:r>
        <w:rPr>
          <w:b/>
          <w:sz w:val="19"/>
        </w:rPr>
        <w:t xml:space="preserve">Übertragbarkeit: </w:t>
      </w:r>
      <w:r>
        <w:rPr>
          <w:sz w:val="19"/>
        </w:rPr>
        <w:t>Klinisches Übersichtswerk; Empfehlungen basieren auf internationaler Leitlinienliteratur.</w:t>
      </w:r>
    </w:p>
    <w:p>
      <w:r>
        <w:rPr>
          <w:color w:val="5A7D3A"/>
          <w:sz w:val="18"/>
        </w:rPr>
        <w:t>https://pubmed.ncbi.nlm.nih.gov/42766690/</w:t>
      </w:r>
    </w:p>
    <w:p>
      <w:pPr>
        <w:pStyle w:val="Heading2"/>
      </w:pPr>
      <w:r>
        <w:t>Neue mechanische Kreislaufunterstützung beim kardiogenen Schock: technische Innovation und klinische Evidenz</w:t>
      </w:r>
    </w:p>
    <w:p>
      <w:r>
        <w:rPr>
          <w:i/>
          <w:color w:val="666666"/>
          <w:sz w:val="18"/>
        </w:rPr>
        <w:t>Thiele H et al.  ·  Circ Heart Fail  ·  15.09.2026  ·  PMID 42743344</w:t>
      </w:r>
    </w:p>
    <w:p>
      <w:r>
        <w:t>Review aktueller und erzeugender Technologien für temporäre mechanische Unterstützungssysteme in kardiogenem Schock und hochriskanten Herzkatheterintervention.</w:t>
      </w:r>
    </w:p>
    <w:p>
      <w:r>
        <w:rPr>
          <w:b/>
        </w:rPr>
        <w:t xml:space="preserve">Ergebnis: </w:t>
      </w:r>
      <w:r>
        <w:t>Neuere Systeme ermöglichen höhere kardiale Leistung bei limitierten vaskulären Zugängen und verbesserter Blutverträglichkeit; aktuelle Systeme bleiben durch Gefäßkomplikationen, Hämolyse und unsicheren Überlebensvorteil begrenzt. Technologie und Indikationen werden systematisch übersichtlich gemacht.</w:t>
      </w:r>
    </w:p>
    <w:p>
      <w:r>
        <w:rPr>
          <w:b/>
          <w:sz w:val="19"/>
        </w:rPr>
        <w:t xml:space="preserve">Übertragbarkeit: </w:t>
      </w:r>
      <w:r>
        <w:rPr>
          <w:sz w:val="19"/>
        </w:rPr>
        <w:t>Review der verfügbaren Evidenz aus klinischen Studien und Registern – Grundlage für Behandlungsentscheidungen.</w:t>
      </w:r>
    </w:p>
    <w:p>
      <w:r>
        <w:rPr>
          <w:color w:val="5A7D3A"/>
          <w:sz w:val="18"/>
        </w:rPr>
        <w:t>https://pubmed.ncbi.nlm.nih.gov/42743344/</w:t>
      </w:r>
    </w:p>
    <w:p>
      <w:pPr>
        <w:pStyle w:val="Heading2"/>
      </w:pPr>
      <w:r>
        <w:t>Atrialer Elektrotransport bei Menschen und Tieren: Vergleich für bessere Translation bei Vorhofflimmern</w:t>
      </w:r>
    </w:p>
    <w:p>
      <w:r>
        <w:rPr>
          <w:i/>
          <w:color w:val="666666"/>
          <w:sz w:val="18"/>
        </w:rPr>
        <w:t>Paasche A et al.  ·  J Am Heart Assoc  ·  15.09.2026  ·  PMID 42714435</w:t>
      </w:r>
    </w:p>
    <w:p>
      <w:r>
        <w:t>Systematische Charakterisierung der speziesspezifischen Elektro physiologie in Atrien von Menschen, Mäusen, Ratten, Schweinen und Pferden mittels einheitlicher Protokolle mit in-silico-Modellierung.</w:t>
      </w:r>
    </w:p>
    <w:p>
      <w:r>
        <w:rPr>
          <w:b/>
        </w:rPr>
        <w:t xml:space="preserve">Ergebnis: </w:t>
      </w:r>
      <w:r>
        <w:t>Schweineatrien ähneln menschlichen Zellen in Depolarisierungsmerkmalen stark, Nager unterscheiden sich deutlich. Menschliches frühes Repolarisierungsmuster korrelierte mit höherem IKur-Beitrag; späte Repolarisierung skalierte mit Species. Geschlechtsunterschiede traten in Menschen und Schweinen, nicht in Nagern auf. In-silico-Simulationen zeigten Chamber-spezifische Unterschiede.</w:t>
      </w:r>
    </w:p>
    <w:p>
      <w:r>
        <w:rPr>
          <w:b/>
          <w:sz w:val="19"/>
        </w:rPr>
        <w:t xml:space="preserve">Übertragbarkeit: </w:t>
      </w:r>
      <w:r>
        <w:rPr>
          <w:sz w:val="19"/>
        </w:rPr>
        <w:t>Deutsche Forschungsinstitutionen (Heidelberg, Göttingen, Karlsruhe); Referenzdaten verbesserter Übersetzbarkeit tierexperimenteller Befunde.</w:t>
      </w:r>
    </w:p>
    <w:p>
      <w:r>
        <w:rPr>
          <w:color w:val="5A7D3A"/>
          <w:sz w:val="18"/>
        </w:rPr>
        <w:t>https://pubmed.ncbi.nlm.nih.gov/42714435/</w:t>
      </w:r>
    </w:p>
    <w:p>
      <w:pPr>
        <w:pStyle w:val="Heading2"/>
      </w:pPr>
      <w:r>
        <w:t>Herzinsuffizienz 2026: neue Mechanismen, Phänotypen und therapeutische Innovationen im Überblick</w:t>
      </w:r>
    </w:p>
    <w:p>
      <w:r>
        <w:rPr>
          <w:i/>
          <w:color w:val="666666"/>
          <w:sz w:val="18"/>
        </w:rPr>
        <w:t>Liguori V et al.  ·  ESC Heart Fail  ·  01.09.2026  ·  PMID 42679357</w:t>
      </w:r>
    </w:p>
    <w:p>
      <w:r>
        <w:t>Aktualisierte Übersicht wissenschaftlicher Fortschritte in Epidemiologie, Pathophysiologie, Diagnostik und Therapie der Herzinsuffizienz nach neuem Universal-Schema.</w:t>
      </w:r>
    </w:p>
    <w:p>
      <w:r>
        <w:rPr>
          <w:b/>
        </w:rPr>
        <w:t xml:space="preserve">Ergebnis: </w:t>
      </w:r>
      <w:r>
        <w:t>Neues Klassifikationsrahmenwerk jenseits Ejektionsfraktion: HFrEF und HFpEF; mechanistische Einblicke in Entzündung, Immunaktivierung, Metabolismus, Mitochondrien; Fortschritt bei Komorbiditäten (CKD, Diabetes, Adipositas, AF, PH, Frailty). Diagnostik: Biomarker, Multi-Omics, KI, erweiterte Bildgebung. Therapeutische Evidenz bei SGLT2-Hemmern, Finerenone, GLP-1, Katheterventilinterventionen.</w:t>
      </w:r>
    </w:p>
    <w:p>
      <w:r>
        <w:rPr>
          <w:b/>
          <w:sz w:val="19"/>
        </w:rPr>
        <w:t xml:space="preserve">Übertragbarkeit: </w:t>
      </w:r>
      <w:r>
        <w:rPr>
          <w:sz w:val="19"/>
        </w:rPr>
        <w:t>Europäische Leitlinienarbeit (ESC) – direkte Übertragbarkeit auf deutsche Versorgung und Leitlinienentwicklung.</w:t>
      </w:r>
    </w:p>
    <w:p>
      <w:r>
        <w:rPr>
          <w:color w:val="5A7D3A"/>
          <w:sz w:val="18"/>
        </w:rPr>
        <w:t>https://pubmed.ncbi.nlm.nih.gov/42679357/</w:t>
      </w:r>
    </w:p>
    <w:p>
      <w:pPr>
        <w:pStyle w:val="Heading1"/>
      </w:pPr>
      <w:r>
        <w:t>Aufgenommen am 26.09.2026</w:t>
      </w:r>
    </w:p>
    <w:p>
      <w:pPr>
        <w:pStyle w:val="Heading2"/>
      </w:pPr>
      <w:r>
        <w:t>Geografische Variation der HCM-Diagnostik in Dänemark: Prävalenz 71/100.000, regional bis 80,3</w:t>
      </w:r>
    </w:p>
    <w:p>
      <w:r>
        <w:rPr>
          <w:i/>
          <w:color w:val="666666"/>
          <w:sz w:val="18"/>
        </w:rPr>
        <w:t>Bhardwaj P et al.  ·  Open Heart  ·  25.09.2026  ·  PMID 42791014</w:t>
      </w:r>
    </w:p>
    <w:p>
      <w:r>
        <w:t>Bevölkerungsbasierte Registerstudie der diagnostizierten hypertrophen (HCM) und arrhythmogenen rechtsventrikulären Kardiomyopathie (ARVC) in Dänemark.</w:t>
      </w:r>
    </w:p>
    <w:p>
      <w:r>
        <w:rPr>
          <w:b/>
        </w:rPr>
        <w:t xml:space="preserve">Ergebnis: </w:t>
      </w:r>
      <w:r>
        <w:t>HCM-Prävalenz 71 pro 100.000 (regional 61,4–80,3); ARVC 8,1 pro 100.000 ohne regionale Variation. HCM zeigt signifikante geografische und Urban-Rural-Unterschiede, ARVC gleichmäßig verteilt – deutet auf Einfluss von Gesundheitsorganisation und Überweisungsmuster hin.</w:t>
      </w:r>
    </w:p>
    <w:p>
      <w:r>
        <w:rPr>
          <w:b/>
          <w:sz w:val="19"/>
        </w:rPr>
        <w:t xml:space="preserve">Übertragbarkeit: </w:t>
      </w:r>
      <w:r>
        <w:rPr>
          <w:sz w:val="19"/>
        </w:rPr>
        <w:t>Dänemark (universelles Gesundheitssystem), für deutsche Mindestmengen-Diskussion in der Kardiomyopathie-Diagnostik relevant.</w:t>
      </w:r>
    </w:p>
    <w:p>
      <w:r>
        <w:rPr>
          <w:color w:val="5A7D3A"/>
          <w:sz w:val="18"/>
        </w:rPr>
        <w:t>https://pubmed.ncbi.nlm.nih.gov/42791014/</w:t>
      </w:r>
    </w:p>
    <w:p>
      <w:pPr>
        <w:pStyle w:val="Heading2"/>
      </w:pPr>
      <w:r>
        <w:t>HFpEF-Phänotypen entwickeln sich unterschiedlich: progressiv früh oder stabil fortgeschritten; KI-Vorhersage C-Index 0,66</w:t>
      </w:r>
    </w:p>
    <w:p>
      <w:r>
        <w:rPr>
          <w:i/>
          <w:color w:val="666666"/>
          <w:sz w:val="18"/>
        </w:rPr>
        <w:t>Brown S et al.  ·  Open Heart  ·  25.09.2026  ·  PMID 42791013</w:t>
      </w:r>
    </w:p>
    <w:p>
      <w:r>
        <w:t>NLP-basierte Phänotypisierung von 2.223 HFpEF-Patienten aus Echtdaten-EHR (2010–2022) mittels Latent-Class-Analysis und Random-Forest-Klassifikation über 5 Jahre zur Identifikation von stabilen versus progressiven Krankheitszuständen.</w:t>
      </w:r>
    </w:p>
    <w:p>
      <w:r>
        <w:rPr>
          <w:b/>
        </w:rPr>
        <w:t xml:space="preserve">Ergebnis: </w:t>
      </w:r>
      <w:r>
        <w:t>Vier HFpEF-Phänotypen: jung-geringe Komorbiditäten (22 %, Übergangswahrscheinlichkeit 47,7 %), Adipositas-dominant (24 %), ältere-atriale Dysfunktion (32 %, 12,1 %), kardiovaskulär-nieren-metabolisch (23 %, 3,2 %, Mortalität HR 1,53). Aktuelle Phänotyp-Klassifikation diskriminiert Mortalität besser als Baseline (C-Index 0,659 vs 0,648).</w:t>
      </w:r>
    </w:p>
    <w:p>
      <w:r>
        <w:rPr>
          <w:b/>
          <w:sz w:val="19"/>
        </w:rPr>
        <w:t xml:space="preserve">Übertragbarkeit: </w:t>
      </w:r>
      <w:r>
        <w:rPr>
          <w:sz w:val="19"/>
        </w:rPr>
        <w:t>UK (King's College London multisite EHR), NLP-gestützte Phänotypisierung könnte EHR-Daten deutscher Kliniken zur HFpEF-Stratifikation nutzen.</w:t>
      </w:r>
    </w:p>
    <w:p>
      <w:r>
        <w:rPr>
          <w:color w:val="5A7D3A"/>
          <w:sz w:val="18"/>
        </w:rPr>
        <w:t>https://pubmed.ncbi.nlm.nih.gov/42791013/</w:t>
      </w:r>
    </w:p>
    <w:p>
      <w:pPr>
        <w:pStyle w:val="Heading2"/>
      </w:pPr>
      <w:r>
        <w:t>Mehrorgan-Aging-Marker im Blut beschleunigen vor Herzinsuffizienz-Komplikationen und prognostizieren unabhängig vom BNP</w:t>
      </w:r>
    </w:p>
    <w:p>
      <w:r>
        <w:rPr>
          <w:i/>
          <w:color w:val="666666"/>
          <w:sz w:val="18"/>
        </w:rPr>
        <w:t>Qu K et al.  ·  Eur J Heart Fail  ·  25.09.2026  ·  PMID 42789496</w:t>
      </w:r>
    </w:p>
    <w:p>
      <w:r>
        <w:t>Longitudinale Proteomik-Studie zweier Kohorten (557 Personen HELPFul HFpEF-Risk bis Diagnose, 382 etablierte HF mit LVEF&lt;50%) zur Organalterung aus Plasma-Proteinen (Organ Age Gaps, OAG).</w:t>
      </w:r>
    </w:p>
    <w:p>
      <w:r>
        <w:rPr>
          <w:b/>
        </w:rPr>
        <w:t xml:space="preserve">Ergebnis: </w:t>
      </w:r>
      <w:r>
        <w:t>Patienten mit ungünstigen Ereignissen zeigen beschleunigte Multi-Organ-Aging über 2,1 Jahre (Immunsystem β=0,36 z-score/Jahr, Herz β=0,29). Nieren-, Lungen- und Immunalterung bleiben nach Adjustierung auf NT-proBNP und Troponin T prognostisch (p&lt;0,05). Baseline-OAGs unterscheiden sich nach HF-Schweregrad.</w:t>
      </w:r>
    </w:p>
    <w:p>
      <w:r>
        <w:rPr>
          <w:b/>
          <w:sz w:val="19"/>
        </w:rPr>
        <w:t xml:space="preserve">Übertragbarkeit: </w:t>
      </w:r>
      <w:r>
        <w:rPr>
          <w:sz w:val="19"/>
        </w:rPr>
        <w:t>Niederlande/UK (HELPFul und Bio-SHiFT), explorative Studie; Proteom-Marker könnten HF-Risiko-Stratifikation verfeinern, brauchen Validierung.</w:t>
      </w:r>
    </w:p>
    <w:p>
      <w:r>
        <w:rPr>
          <w:color w:val="5A7D3A"/>
          <w:sz w:val="18"/>
        </w:rPr>
        <w:t>https://pubmed.ncbi.nlm.nih.gov/42789496/</w:t>
      </w:r>
    </w:p>
    <w:p>
      <w:pPr>
        <w:pStyle w:val="Heading2"/>
      </w:pPr>
      <w:r>
        <w:t>Operative linksatriale Appendage-Okklusion bei Sinusrhythmus reduziert Schlaganfall um 25 Prozent, erhöht Vorhofflimmern-Inzidenz</w:t>
      </w:r>
    </w:p>
    <w:p>
      <w:r>
        <w:rPr>
          <w:i/>
          <w:color w:val="666666"/>
          <w:sz w:val="18"/>
        </w:rPr>
        <w:t>Song Q et al.  ·  J Am Heart Assoc  ·  24.09.2026  ·  PMID 42786657</w:t>
      </w:r>
    </w:p>
    <w:p>
      <w:r>
        <w:t>Metaanalyse von 11 Studien (12.145 Teilnehmer) zur elektiven chirurgischen LAAO versus keine LAAO bei Patienten ohne präoperatives Vorhofflimmern.</w:t>
      </w:r>
    </w:p>
    <w:p>
      <w:r>
        <w:rPr>
          <w:b/>
        </w:rPr>
        <w:t xml:space="preserve">Ergebnis: </w:t>
      </w:r>
      <w:r>
        <w:t>Chirurgische LAAO reduzierte neu aufgetretenes TIA/Schlaganfall (OR 0,75; 95%-KI 0,62–0,90) und Blutungen (OR 0,78; 95%-KI 0,60–1,00), erhöhte aber postoperatives Vorhofflimmern (OR 1,27; 95%-KI 1,06–1,53). Kein Unterschied in Gesamtsterblichkeit oder Liegedauer.</w:t>
      </w:r>
    </w:p>
    <w:p>
      <w:r>
        <w:rPr>
          <w:b/>
          <w:sz w:val="19"/>
        </w:rPr>
        <w:t xml:space="preserve">Übertragbarkeit: </w:t>
      </w:r>
      <w:r>
        <w:rPr>
          <w:sz w:val="19"/>
        </w:rPr>
        <w:t>11 überwiegend nicht-deutsche Zentren; Evidenz-Niveau moderat; Entscheidung zu elektiven LAAO-Implantationen ist evidenzbasiert.</w:t>
      </w:r>
    </w:p>
    <w:p>
      <w:r>
        <w:rPr>
          <w:color w:val="5A7D3A"/>
          <w:sz w:val="18"/>
        </w:rPr>
        <w:t>https://pubmed.ncbi.nlm.nih.gov/42786657/</w:t>
      </w:r>
    </w:p>
    <w:p>
      <w:pPr>
        <w:pStyle w:val="Heading2"/>
      </w:pPr>
      <w:r>
        <w:t>Frühe kardiologische Rehabilitation nach Herzinsuffizienz-Klinikaufenthalt senkt Sterblichkeit um 51 bis 61 Prozent</w:t>
      </w:r>
    </w:p>
    <w:p>
      <w:r>
        <w:rPr>
          <w:i/>
          <w:color w:val="666666"/>
          <w:sz w:val="18"/>
        </w:rPr>
        <w:t>Katano S et al.  ·  J Am Heart Assoc  ·  24.09.2026  ·  PMID 42786652</w:t>
      </w:r>
    </w:p>
    <w:p>
      <w:r>
        <w:t>Japanische Registerstudie (564.830 Patienten mit akuter Herzinsuffizienz 2012–2023) zum zeitlichen Zusammenhang zwischen Aufnahme und Beginn kardiologischer Rehabilitation und Krankenhausergebnis.</w:t>
      </w:r>
    </w:p>
    <w:p>
      <w:r>
        <w:rPr>
          <w:b/>
        </w:rPr>
        <w:t xml:space="preserve">Ergebnis: </w:t>
      </w:r>
      <w:r>
        <w:t>Alle Rehabilitations-Zeitquartile (≤1 Tag bis ≥6 Tage) zeigten niedrigere Krankenhaussterblichkeit gegen Nicht-Rehab-Gruppe: adjustierte Odds Ratios 0,39–0,49 (p&lt;0,001). Funktionelle Besserung (Barthel-Index) optimal bei 2–3 Tagen, Mortalitätsabsenkung über breiteres Zeitfenster bis 6 Tage. Spline-Analysen zeigen nichtlineare Assoziationen.</w:t>
      </w:r>
    </w:p>
    <w:p>
      <w:r>
        <w:rPr>
          <w:b/>
          <w:sz w:val="19"/>
        </w:rPr>
        <w:t xml:space="preserve">Übertragbarkeit: </w:t>
      </w:r>
      <w:r>
        <w:rPr>
          <w:sz w:val="19"/>
        </w:rPr>
        <w:t>Japan (Universitätskliniken, strukturierte Rehabilitation), organisatorisches Modell für deutsche Herzinsuffizienz-Rehabilitation anwendbar.</w:t>
      </w:r>
    </w:p>
    <w:p>
      <w:r>
        <w:rPr>
          <w:color w:val="5A7D3A"/>
          <w:sz w:val="18"/>
        </w:rPr>
        <w:t>https://pubmed.ncbi.nlm.nih.gov/42786652/</w:t>
      </w:r>
    </w:p>
    <w:p>
      <w:pPr>
        <w:pStyle w:val="Heading2"/>
      </w:pPr>
      <w:r>
        <w:t>Präemptive Sternumganglien-Blockade senkt postoperatives Vorhofflimmern nach Bypass um 56 Prozent</w:t>
      </w:r>
    </w:p>
    <w:p>
      <w:r>
        <w:rPr>
          <w:i/>
          <w:color w:val="666666"/>
          <w:sz w:val="18"/>
        </w:rPr>
        <w:t>Tian S et al.  ·  JACC Clin Electrophysiol  ·  21.09.2026  ·  PMID 42782230</w:t>
      </w:r>
    </w:p>
    <w:p>
      <w:r>
        <w:t>Randomisierte kontrollierte Studie (n=108 modifizierte Intention-to-Treat) zur präoperativen linken Stellatumganglien-Blockade zur Reduktion postoperativen Vorhofflimmerns nach Koronarbypass mit Herz-Lungen-Maschine.</w:t>
      </w:r>
    </w:p>
    <w:p>
      <w:r>
        <w:rPr>
          <w:b/>
        </w:rPr>
        <w:t xml:space="preserve">Ergebnis: </w:t>
      </w:r>
      <w:r>
        <w:t>POAF-Inzidenz 5 Tage postoperativ: SGB 18,5 % vs Kontrolle 44,4 % (OR 0,288; 95%-KI 0,106–0,731; p=0,007). SGB zeigte auch niedrigere POAF-Last, kürzere Episoden-Dauer, niedrigere Entzündungsmarker (CRP, IL-6, hs-Troponin T) und kürzerer Krankenhausaufenthalt.</w:t>
      </w:r>
    </w:p>
    <w:p>
      <w:r>
        <w:rPr>
          <w:b/>
          <w:sz w:val="19"/>
        </w:rPr>
        <w:t xml:space="preserve">Übertragbarkeit: </w:t>
      </w:r>
      <w:r>
        <w:rPr>
          <w:sz w:val="19"/>
        </w:rPr>
        <w:t>China (ein Zentrum); physiologisches Konzept ist übertragbar; Methode könnte für SZ-Bypass-Patienten evaluiert werden.</w:t>
      </w:r>
    </w:p>
    <w:p>
      <w:r>
        <w:rPr>
          <w:color w:val="5A7D3A"/>
          <w:sz w:val="18"/>
        </w:rPr>
        <w:t>https://pubmed.ncbi.nlm.nih.gov/42782230/</w:t>
      </w:r>
    </w:p>
    <w:p>
      <w:pPr>
        <w:pStyle w:val="Heading1"/>
      </w:pPr>
      <w:r>
        <w:t>Aufgenommen am 25.09.2026</w:t>
      </w:r>
    </w:p>
    <w:p>
      <w:pPr>
        <w:pStyle w:val="Heading2"/>
      </w:pPr>
      <w:r>
        <w:t>Kardiales Risiko in der Schwangerschaft - Scores überschätzen Komplikationen</w:t>
      </w:r>
    </w:p>
    <w:p>
      <w:r>
        <w:rPr>
          <w:i/>
          <w:color w:val="666666"/>
          <w:sz w:val="18"/>
        </w:rPr>
        <w:t>Houri O et al.  ·  Open Heart  ·  24.09.2026  ·  PMID 42785923</w:t>
      </w:r>
    </w:p>
    <w:p>
      <w:r>
        <w:t>Externe Validierung dreier etablierter Risikoscores (mWHO, CARPREG II, ZAHARA) an einer israelischen Hochrisiko-Kohorte von 407 Schwangerschaften bei 282 Frauen mit Herzerkrankung (2009–2023).</w:t>
      </w:r>
    </w:p>
    <w:p>
      <w:r>
        <w:rPr>
          <w:b/>
        </w:rPr>
        <w:t xml:space="preserve">Ergebnis: </w:t>
      </w:r>
      <w:r>
        <w:t>Beobachtete kardiale Komplikationen: 4,18 % (17 Ereignisse), kein mütterlicher Tod. Vorhergesagte Raten: CARPREG II 12,78 %, mWHO 8,3 %, ZAHARA 6,7 %. Observed-to-Expected-Quoten 0,33, 0,50 und 0,62. Diskriminationsfähigkeit moderat (AUC 0,69–0,74). Keine der Scores sagte geburtshilfliche Komplikationen voraus.</w:t>
      </w:r>
    </w:p>
    <w:p>
      <w:r>
        <w:rPr>
          <w:b/>
          <w:sz w:val="19"/>
        </w:rPr>
        <w:t xml:space="preserve">Übertragbarkeit: </w:t>
      </w:r>
      <w:r>
        <w:rPr>
          <w:sz w:val="19"/>
        </w:rPr>
        <w:t>Spezialisierte Zentren, externe Validierung in anderer Population - Ergebnis zeigt Kalibrierdrift, erfordert Individualisierung</w:t>
      </w:r>
    </w:p>
    <w:p>
      <w:r>
        <w:rPr>
          <w:color w:val="5A7D3A"/>
          <w:sz w:val="18"/>
        </w:rPr>
        <w:t>https://pubmed.ncbi.nlm.nih.gov/42785923/</w:t>
      </w:r>
    </w:p>
    <w:p>
      <w:pPr>
        <w:pStyle w:val="Heading2"/>
      </w:pPr>
      <w:r>
        <w:t>Katheterablation bei Vorhofflimmern unter 30 Jahren - hohe Erfolgsraten ohne Komplikationen</w:t>
      </w:r>
    </w:p>
    <w:p>
      <w:r>
        <w:rPr>
          <w:i/>
          <w:color w:val="666666"/>
          <w:sz w:val="18"/>
        </w:rPr>
        <w:t>Doldi F et al.  ·  Heart Rhythm  ·  24.09.2026  ·  PMID 42785609</w:t>
      </w:r>
    </w:p>
    <w:p>
      <w:r>
        <w:t>Multizentrische deutsche Registerstudie zu Ablationsergebnissen bei jungen Patienten (≤30 Jahre) mit Vorhofflimmern und erstmaliger Pulmonalvenenisolation (2005–2025).</w:t>
      </w:r>
    </w:p>
    <w:p>
      <w:r>
        <w:rPr>
          <w:b/>
        </w:rPr>
        <w:t xml:space="preserve">Ergebnis: </w:t>
      </w:r>
      <w:r>
        <w:t>Von 104 Patienten mit mittlerem Alter 29,1 Jahren (83,6 % paroxysmales VHF) betrug die Freiheit von VHF bei 1, 2 und 3 Jahren 93,6 %, 88,2 % und 82,1 %; 94,9 % nach bis zu zwei Prozeduren. Komplikationen: 2,1 % (3 Patienten). Paroxysmal vs. persistentes VHF: 98,5 % vs. 67,7 % bei 1 Jahr (p&lt;0,001).</w:t>
      </w:r>
    </w:p>
    <w:p>
      <w:r>
        <w:rPr>
          <w:b/>
          <w:sz w:val="19"/>
        </w:rPr>
        <w:t xml:space="preserve">Übertragbarkeit: </w:t>
      </w:r>
      <w:r>
        <w:rPr>
          <w:sz w:val="19"/>
        </w:rPr>
        <w:t>Deutsche Hochvolumenzentren, direkt auf nationale Strukturen übertragbar</w:t>
      </w:r>
    </w:p>
    <w:p>
      <w:r>
        <w:rPr>
          <w:color w:val="5A7D3A"/>
          <w:sz w:val="18"/>
        </w:rPr>
        <w:t>https://pubmed.ncbi.nlm.nih.gov/42785609/</w:t>
      </w:r>
    </w:p>
    <w:p>
      <w:pPr>
        <w:pStyle w:val="Heading2"/>
      </w:pPr>
      <w:r>
        <w:t>Akutes Nierenversagen im kardiogenen Schock - Phänotypen und Therapeutische Ziele</w:t>
      </w:r>
    </w:p>
    <w:p>
      <w:r>
        <w:rPr>
          <w:i/>
          <w:color w:val="666666"/>
          <w:sz w:val="18"/>
        </w:rPr>
        <w:t>Hanff TC et al.  ·  Circ Heart Fail  ·  15.09.2026  ·  PMID 42743342</w:t>
      </w:r>
    </w:p>
    <w:p>
      <w:r>
        <w:t>Narratives Review zur Epidemiologie, Pathophysiologie und Klassifikation akuter Nierenschädigung (AKI) im kardiogenen Schock mit Fokus auf heterogene Phänotypen und therapeutische Ansätze.</w:t>
      </w:r>
    </w:p>
    <w:p>
      <w:r>
        <w:rPr>
          <w:b/>
        </w:rPr>
        <w:t xml:space="preserve">Ergebnis: </w:t>
      </w:r>
      <w:r>
        <w:t>AKI tritt häufig auf und verschlechtert sowohl Kurz- als auch Langzeitprognose erheblich. Mehrere biologisch unterscheidbare Phänotypen wurden identifiziert (früh vs. spät, akut vs. akut auf chronisch). Neue biomarkerbasierte und gerätegestützte Strategien zeigen Potential, Nierenperfusion zu verbessern und Stauung zu reduzieren.</w:t>
      </w:r>
    </w:p>
    <w:p>
      <w:r>
        <w:rPr>
          <w:b/>
          <w:sz w:val="19"/>
        </w:rPr>
        <w:t xml:space="preserve">Übertragbarkeit: </w:t>
      </w:r>
      <w:r>
        <w:rPr>
          <w:sz w:val="19"/>
        </w:rPr>
        <w:t>Konzeptionell-mechanistisches Überblickswerk, Empfehlungen zur individualisiertem Diagnostik und Therapie</w:t>
      </w:r>
    </w:p>
    <w:p>
      <w:r>
        <w:rPr>
          <w:color w:val="5A7D3A"/>
          <w:sz w:val="18"/>
        </w:rPr>
        <w:t>https://pubmed.ncbi.nlm.nih.gov/42743342/</w:t>
      </w:r>
    </w:p>
    <w:p>
      <w:pPr>
        <w:pStyle w:val="Heading2"/>
      </w:pPr>
      <w:r>
        <w:t>Zytomegalievirus-Latenz verstärkt Entzündung nach Herzinfarkt - experimentelle und klinische Evidenz</w:t>
      </w:r>
    </w:p>
    <w:p>
      <w:r>
        <w:rPr>
          <w:i/>
          <w:color w:val="666666"/>
          <w:sz w:val="18"/>
        </w:rPr>
        <w:t>Dapergola E et al.  ·  Circ Res  ·  14.09.2026  ·  PMID 42734064</w:t>
      </w:r>
    </w:p>
    <w:p>
      <w:r>
        <w:t>Kombination aus experimentellem Mausmodell und klinischer Kohortenanalyse zur Frage, ob latente CMV-Infektion die kardiale Heilung nach Myokardinfarkt durch persistente Entzündung beeinträchtigt.</w:t>
      </w:r>
    </w:p>
    <w:p>
      <w:r>
        <w:rPr>
          <w:b/>
        </w:rPr>
        <w:t xml:space="preserve">Ergebnis: </w:t>
      </w:r>
      <w:r>
        <w:t>Mäuse mit CMV-Exposition zeigten post-MI stärkere Entzündungsantworten mit erhöhter CD8+-T-Zellinfiltraten und verschlechterter Herzfunktion. In Patienten mit CMV-seropositiven MI fanden sich CMV-responsive T-Zellen im Myokard. Latente CMV-Infektion führt zu langfristigen Veränderungen der kardialen Mikroumgebung und beeinträchtigt die Heilung nach MI.</w:t>
      </w:r>
    </w:p>
    <w:p>
      <w:r>
        <w:rPr>
          <w:b/>
          <w:sz w:val="19"/>
        </w:rPr>
        <w:t xml:space="preserve">Übertragbarkeit: </w:t>
      </w:r>
      <w:r>
        <w:rPr>
          <w:sz w:val="19"/>
        </w:rPr>
        <w:t>Grundlagenarbeit mit erkennbarem Weg zur Klinik (Biomarker, Immuntherapie)</w:t>
      </w:r>
    </w:p>
    <w:p>
      <w:r>
        <w:rPr>
          <w:color w:val="5A7D3A"/>
          <w:sz w:val="18"/>
        </w:rPr>
        <w:t>https://pubmed.ncbi.nlm.nih.gov/42734064/</w:t>
      </w:r>
    </w:p>
    <w:p>
      <w:pPr>
        <w:pStyle w:val="Heading2"/>
      </w:pPr>
      <w:r>
        <w:t>Geschlechtsspezifische Unterschiede bei Kryoballonablation bei Vorhofflimmern</w:t>
      </w:r>
    </w:p>
    <w:p>
      <w:r>
        <w:rPr>
          <w:i/>
          <w:color w:val="666666"/>
          <w:sz w:val="18"/>
        </w:rPr>
        <w:t>Heil E et al.  ·  Europace  ·  02.09.2026  ·  PMID 42696497</w:t>
      </w:r>
    </w:p>
    <w:p>
      <w:r>
        <w:t>Deutsche Registerstudie aus dem Deutschen Herzzentrum der Charité zu Unterschieden bei Läsionserzeugung und VHF-Rezidiven nach Kryoballonablation zwischen Männern und Frauen.</w:t>
      </w:r>
    </w:p>
    <w:p>
      <w:r>
        <w:rPr>
          <w:b/>
        </w:rPr>
        <w:t xml:space="preserve">Ergebnis: </w:t>
      </w:r>
      <w:r>
        <w:t>Geschlechtsspezifische Unterschiede in Läsionsmerkamlen und Rezidivraten werden identifiziert - die genauen Zahlen sind im zur Verfügung stehenden Abstract nicht genannt, aber systematische Unterschiede in der Ablationswirksamkeit zwischen Frauen und Männern wurden nachgewiesen.</w:t>
      </w:r>
    </w:p>
    <w:p>
      <w:r>
        <w:rPr>
          <w:b/>
          <w:sz w:val="19"/>
        </w:rPr>
        <w:t xml:space="preserve">Übertragbarkeit: </w:t>
      </w:r>
      <w:r>
        <w:rPr>
          <w:sz w:val="19"/>
        </w:rPr>
        <w:t>Deutsche Klinikdaten, vergleichbare Dokumentation und Strukturen</w:t>
      </w:r>
    </w:p>
    <w:p>
      <w:r>
        <w:rPr>
          <w:color w:val="5A7D3A"/>
          <w:sz w:val="18"/>
        </w:rPr>
        <w:t>https://pubmed.ncbi.nlm.nih.gov/42696497/</w:t>
      </w:r>
    </w:p>
    <w:p>
      <w:pPr>
        <w:pStyle w:val="Heading2"/>
      </w:pPr>
      <w:r>
        <w:t>Zielplatzierung der Ventrikelektrodenposition - keine Verbesserung der Krankenhausaufenthalte</w:t>
      </w:r>
    </w:p>
    <w:p>
      <w:r>
        <w:rPr>
          <w:i/>
          <w:color w:val="666666"/>
          <w:sz w:val="18"/>
        </w:rPr>
        <w:t>Nielsen JC et al.  ·  Lancet  ·  26.09.2026  ·  PMID 42673980</w:t>
      </w:r>
    </w:p>
    <w:p>
      <w:r>
        <w:t>Randomisierte kontrollierte Studie aus Dänemark zur Frage, ob die Positionierung der LV-Elektrode an der Stelle spätester elektrischer Aktivierung bei der biventrikulären Therapie der Herzinsuffizienz (HF) Todesfälle oder HF-Hospitalisierungen reduziert.</w:t>
      </w:r>
    </w:p>
    <w:p>
      <w:r>
        <w:rPr>
          <w:b/>
        </w:rPr>
        <w:t xml:space="preserve">Ergebnis: </w:t>
      </w:r>
      <w:r>
        <w:t>Unter 1000 Patienten mit HF und breitem QRS trat der primäre Endpunkt in 28 % der Interventionsgruppe vs. 26 % der Kontrollgruppe auf (HR 1,10, 95%-KI 0,86–1,39; p=0,45). Komplikationen waren ähnlich, aber Elektrodenkomplikationen häufiger in der Interventionsgruppe. Zielgerichtete Elektrodenplatzierung reduzierte Todesfälle oder HF-Hospitalisierungen nicht.</w:t>
      </w:r>
    </w:p>
    <w:p>
      <w:r>
        <w:rPr>
          <w:b/>
          <w:sz w:val="19"/>
        </w:rPr>
        <w:t xml:space="preserve">Übertragbarkeit: </w:t>
      </w:r>
      <w:r>
        <w:rPr>
          <w:sz w:val="19"/>
        </w:rPr>
        <w:t>Dänemark, nationales, multizentrisch koordiniertes Versorgungssystem, übertragbar auf Deutschland</w:t>
      </w:r>
    </w:p>
    <w:p>
      <w:r>
        <w:rPr>
          <w:color w:val="5A7D3A"/>
          <w:sz w:val="18"/>
        </w:rPr>
        <w:t>https://pubmed.ncbi.nlm.nih.gov/42673980/</w:t>
      </w:r>
    </w:p>
    <w:p>
      <w:pPr>
        <w:pStyle w:val="Heading2"/>
      </w:pPr>
      <w:r>
        <w:t>Hämoglobin bei Herzinsuffizienz - kontextabhängige Deutung von Normalwerten erforderlich</w:t>
      </w:r>
    </w:p>
    <w:p>
      <w:r>
        <w:rPr>
          <w:i/>
          <w:color w:val="666666"/>
          <w:sz w:val="18"/>
        </w:rPr>
        <w:t>Anker SD et al.  ·  J Am Coll Cardiol  ·  28.08.2026  ·  PMID 42670736</w:t>
      </w:r>
    </w:p>
    <w:p>
      <w:r>
        <w:t>Kritische Analyse zur Rolle des Hämoglobins bei Herzinsuffizienzpatienten mit Bezug auf prognostische Implikationen und individualisierte Therapieentscheidungen.</w:t>
      </w:r>
    </w:p>
    <w:p>
      <w:r>
        <w:rPr>
          <w:b/>
        </w:rPr>
        <w:t xml:space="preserve">Ergebnis: </w:t>
      </w:r>
      <w:r>
        <w:t>Während Anämie ein Risikofaktor ist, ist der prädiktive Wert von Hämoglobinwerten im Normalbereich bei HF nicht linear und stark abhängig von Begleiterkrankungen. Normale Hämoglobinwerte können bei HF-Patienten mit Niereninsuffizienz oder anderen Begleiterkrankungen pathologische Bedeutung haben.</w:t>
      </w:r>
    </w:p>
    <w:p>
      <w:r>
        <w:rPr>
          <w:b/>
          <w:sz w:val="19"/>
        </w:rPr>
        <w:t xml:space="preserve">Übertragbarkeit: </w:t>
      </w:r>
      <w:r>
        <w:rPr>
          <w:sz w:val="19"/>
        </w:rPr>
        <w:t>Europäische und deutsche Praxis, etablierte Definitionen gelten auch hier</w:t>
      </w:r>
    </w:p>
    <w:p>
      <w:r>
        <w:rPr>
          <w:color w:val="5A7D3A"/>
          <w:sz w:val="18"/>
        </w:rPr>
        <w:t>https://pubmed.ncbi.nlm.nih.gov/42670736/</w:t>
      </w:r>
    </w:p>
    <w:p>
      <w:pPr>
        <w:pStyle w:val="Heading1"/>
      </w:pPr>
      <w:r>
        <w:t>Aufgenommen am 24.09.2026</w:t>
      </w:r>
    </w:p>
    <w:p>
      <w:pPr>
        <w:pStyle w:val="Heading2"/>
      </w:pPr>
      <w:r>
        <w:t>Orale Hormontherapie erhöht thrombotische Ereignisse in der Menopause deutlich</w:t>
      </w:r>
    </w:p>
    <w:p>
      <w:r>
        <w:rPr>
          <w:i/>
          <w:color w:val="666666"/>
          <w:sz w:val="18"/>
        </w:rPr>
        <w:t>Berggreen J et al.  ·  BMJ  ·  23.09.2026  ·  PMID 42778212</w:t>
      </w:r>
    </w:p>
    <w:p>
      <w:r>
        <w:t>Dänische Kohortenstudie mit 9807 Frauen mit venöser Thromboembolie, 18460 mit ischämischem Schlaganfall und 11974 mit Herzinfarkt zwischen 2003 und 2021; Vergleich zwischen Frauen mit und ohne Hormontherapie.</w:t>
      </w:r>
    </w:p>
    <w:p>
      <w:r>
        <w:rPr>
          <w:b/>
        </w:rPr>
        <w:t xml:space="preserve">Ergebnis: </w:t>
      </w:r>
      <w:r>
        <w:t>Oral-Östrogen-Therapie erhöhte gegenüber Nichtanwendung: Venöse Thromboembolie HR 1,6 (95% CI 1,5–1,8), ischämischer Schlaganfall HR 1,3 (1,2–1,4), Herzinfarkt HR 1,2 (1,1–1,3). Absolute Risikozunahme pro Jahr: 0,09% (VTE), 0,06% (Schlaganfall), 0,03% (Herzinfarkt). Transdermal-Therapie zeigte keine erhöhten Risiken außer für kombinierte zyklische Therapie (MI HR 2,1). Die Risiken stiegen mit Dosis (&gt;1 mg/Tag) und Dauer (&gt;5 Jahre).</w:t>
      </w:r>
    </w:p>
    <w:p>
      <w:r>
        <w:rPr>
          <w:b/>
          <w:sz w:val="19"/>
        </w:rPr>
        <w:t xml:space="preserve">Übertragbarkeit: </w:t>
      </w:r>
      <w:r>
        <w:rPr>
          <w:sz w:val="19"/>
        </w:rPr>
        <w:t>Dänische Registerdaten, europäischer Sozialversicherungskontext, direkt übertragbar</w:t>
      </w:r>
    </w:p>
    <w:p>
      <w:r>
        <w:rPr>
          <w:color w:val="5A7D3A"/>
          <w:sz w:val="18"/>
        </w:rPr>
        <w:t>https://pubmed.ncbi.nlm.nih.gov/42778212/</w:t>
      </w:r>
    </w:p>
    <w:p>
      <w:pPr>
        <w:pStyle w:val="Heading2"/>
      </w:pPr>
      <w:r>
        <w:t>Finerenon bei Herzinsuffizienz mit unerkannter chronischer Nierenerkrankung</w:t>
      </w:r>
    </w:p>
    <w:p>
      <w:r>
        <w:rPr>
          <w:i/>
          <w:color w:val="666666"/>
          <w:sz w:val="18"/>
        </w:rPr>
        <w:t>Ostrominski JW et al.  ·  JAMA Cardiol  ·  23.09.2026  ·  PMID 42776557</w:t>
      </w:r>
    </w:p>
    <w:p>
      <w:r>
        <w:t>Sekundäranalyse der FINEARTS-HF-Studie zur Prävalenz und kardiovaskulären Folgen undiagnostizierter chronischer Nierenerkrankung bei Herzinsuffizienz-Hochrisikopatienten.</w:t>
      </w:r>
    </w:p>
    <w:p>
      <w:r>
        <w:rPr>
          <w:b/>
        </w:rPr>
        <w:t xml:space="preserve">Ergebnis: </w:t>
      </w:r>
      <w:r>
        <w:t>Keine Abstrakt-Ergebnisse verfügbar (nur Ankündigung der Analyse); Sekundäranalyse ohne benannte Endpunkte im Abstract.</w:t>
      </w:r>
    </w:p>
    <w:p>
      <w:r>
        <w:rPr>
          <w:color w:val="5A7D3A"/>
          <w:sz w:val="18"/>
        </w:rPr>
        <w:t>https://pubmed.ncbi.nlm.nih.gov/42776557/</w:t>
      </w:r>
    </w:p>
    <w:p>
      <w:pPr>
        <w:pStyle w:val="Heading2"/>
      </w:pPr>
      <w:r>
        <w:t>Neue Flussparameter senken unbestimmte Stress-Echos bei Aortenstenose</w:t>
      </w:r>
    </w:p>
    <w:p>
      <w:r>
        <w:rPr>
          <w:i/>
          <w:color w:val="666666"/>
          <w:sz w:val="18"/>
        </w:rPr>
        <w:t>Vamvakidou A et al.  ·  Circ Cardiovasc Imaging  ·  23.09.2026  ·  PMID 42775464</w:t>
      </w:r>
    </w:p>
    <w:p>
      <w:r>
        <w:t>Retrospektive europäische Multicenterstudie mit 287 Patienten mit Low-gradient-Aortenstenose und Dobutamin-Stressechokardiographie; Bewertung konventioneller vs. neuer transvalvulärer Flusskriterien.</w:t>
      </w:r>
    </w:p>
    <w:p>
      <w:r>
        <w:rPr>
          <w:b/>
        </w:rPr>
        <w:t xml:space="preserve">Ergebnis: </w:t>
      </w:r>
      <w:r>
        <w:t>Mit konventionellen Kriterien: 43% unbestimmte Befunde. Mit neuen Flusskriterien sank dieser Anteil auf 9%. Bei 84 (29%) Patienten mit angewandten neuen Kriterien hatte Aortenklappenintervention einen Überlebensvorteil (HR 0,50; 95% CI 0,27–0,92; p=0,03). Die neuen Kriterien verbesserten diagnostische Testraten von 57% auf 91% insgesamt.</w:t>
      </w:r>
    </w:p>
    <w:p>
      <w:r>
        <w:rPr>
          <w:b/>
          <w:sz w:val="19"/>
        </w:rPr>
        <w:t xml:space="preserve">Übertragbarkeit: </w:t>
      </w:r>
      <w:r>
        <w:rPr>
          <w:sz w:val="19"/>
        </w:rPr>
        <w:t>Multi-nationale europäische Studie, vergleichbare Leitlinien und Echokardiographie-Standards</w:t>
      </w:r>
    </w:p>
    <w:p>
      <w:r>
        <w:rPr>
          <w:color w:val="5A7D3A"/>
          <w:sz w:val="18"/>
        </w:rPr>
        <w:t>https://pubmed.ncbi.nlm.nih.gov/42775464/</w:t>
      </w:r>
    </w:p>
    <w:p>
      <w:pPr>
        <w:pStyle w:val="Heading2"/>
      </w:pPr>
      <w:r>
        <w:t>Asb2-KIF11-Achse schützt vor Herzinsuffizienz durch Lysosomal-Homöostase</w:t>
      </w:r>
    </w:p>
    <w:p>
      <w:r>
        <w:rPr>
          <w:i/>
          <w:color w:val="666666"/>
          <w:sz w:val="18"/>
        </w:rPr>
        <w:t>Lv Y et al.  ·  Circulation  ·  22.09.2026  ·  PMID 42770210</w:t>
      </w:r>
    </w:p>
    <w:p>
      <w:r>
        <w:t>Präklinische Studie in transgenen Mäusen: Asb2-Mangel führte zu Herzinsuffizienz; Wiederherstellung von Asb2 oder KIF11-Inhibition verbesserte Herzfunktion bei Druckbelastung und Alterung.</w:t>
      </w:r>
    </w:p>
    <w:p>
      <w:r>
        <w:rPr>
          <w:b/>
        </w:rPr>
        <w:t xml:space="preserve">Ergebnis: </w:t>
      </w:r>
      <w:r>
        <w:t>Asb2-defiziente Mäuse entwickelten spontan kardialen Hypertrophie und Herzinsuffizienz mit Mitochondrien-Dysfunktion. Therapeutische Asb2-Wiederherstellung attenuierte Druckbelastungs- und altersinduzierte Kardiomyopathie. Sowohl genetische als auch pharmakologische KIF11-Inhibition besserte pathologisches kardialen Remodeling in Asb2-defizienten Herzen und TAC-induzierter Dysfunktion.</w:t>
      </w:r>
    </w:p>
    <w:p>
      <w:r>
        <w:rPr>
          <w:b/>
          <w:sz w:val="19"/>
        </w:rPr>
        <w:t xml:space="preserve">Übertragbarkeit: </w:t>
      </w:r>
      <w:r>
        <w:rPr>
          <w:sz w:val="19"/>
        </w:rPr>
        <w:t>Mausmodell, Grundlagen-Zielstruktur KIF11, noch klinisch nicht gestestet</w:t>
      </w:r>
    </w:p>
    <w:p>
      <w:r>
        <w:rPr>
          <w:color w:val="5A7D3A"/>
          <w:sz w:val="18"/>
        </w:rPr>
        <w:t>https://pubmed.ncbi.nlm.nih.gov/42770210/</w:t>
      </w:r>
    </w:p>
    <w:p>
      <w:pPr>
        <w:pStyle w:val="Heading2"/>
      </w:pPr>
      <w:r>
        <w:t>Pulmonalarterien-Compliance vorhersagt schlechte Prognose bei rechtsventrikulärer Dysfunktion</w:t>
      </w:r>
    </w:p>
    <w:p>
      <w:r>
        <w:rPr>
          <w:i/>
          <w:color w:val="666666"/>
          <w:sz w:val="18"/>
        </w:rPr>
        <w:t>Nishikawa K et al.  ·  Open Heart  ·  21.09.2026  ·  PMID 42767710</w:t>
      </w:r>
    </w:p>
    <w:p>
      <w:r>
        <w:t>Japanische Kohortenstudie mit 155 Patienten (202 Rechtsherzkateter); Untersuchung von Hämodynamik-Parametern und prognostischen Prädiktoren bei rechtsventrikulärer Dysfunktion und Herzinsuffizienz.</w:t>
      </w:r>
    </w:p>
    <w:p>
      <w:r>
        <w:rPr>
          <w:b/>
        </w:rPr>
        <w:t xml:space="preserve">Ergebnis: </w:t>
      </w:r>
      <w:r>
        <w:t>Optimales Herzminuten-Volumen erreicht bei RAP 10–15 mm Hg. Herzfrequenz zeigte nicht-linearen Zusammenhang mit Herzminutenvolumen (Gipfel ~80 bpm). PA-Compliance &lt;4,9 mL/mm Hg war unabhängiger Prädiktor des primären Endpunkts (Tod oder HF-Hospitalisierung) über 1,4 Jahre Median-Follow-up. RAP &gt;10 mm Hg war in univariaten, nicht aber multivariaten Analysen signifikant.</w:t>
      </w:r>
    </w:p>
    <w:p>
      <w:r>
        <w:rPr>
          <w:b/>
          <w:sz w:val="19"/>
        </w:rPr>
        <w:t xml:space="preserve">Übertragbarkeit: </w:t>
      </w:r>
      <w:r>
        <w:rPr>
          <w:sz w:val="19"/>
        </w:rPr>
        <w:t>Japan-Kohorte, physiologische Parameter übertragbar auf deutsches Katheter-Setting</w:t>
      </w:r>
    </w:p>
    <w:p>
      <w:r>
        <w:rPr>
          <w:color w:val="5A7D3A"/>
          <w:sz w:val="18"/>
        </w:rPr>
        <w:t>https://pubmed.ncbi.nlm.nih.gov/42767710/</w:t>
      </w:r>
    </w:p>
    <w:p>
      <w:pPr>
        <w:pStyle w:val="Heading2"/>
      </w:pPr>
      <w:r>
        <w:t>Standardisiertes Imaging für linksventrikuläre Appendage-Verschluss-Prozeduren</w:t>
      </w:r>
    </w:p>
    <w:p>
      <w:r>
        <w:rPr>
          <w:i/>
          <w:color w:val="666666"/>
          <w:sz w:val="18"/>
        </w:rPr>
        <w:t>Wunderlich NC et al.  ·  EuroIntervention  ·  07.09.2026  ·  PMID 42703764</w:t>
      </w:r>
    </w:p>
    <w:p>
      <w:r>
        <w:t>Europäischer Experten-Konsens der ELAACC mit vereinheitlichtem Rahmen für prä-, intra- und postprozedurales Imaging beim links-atrialen-Appendage-Verschluss zur Reduktion von Variabilität und Verbesserung der Reproduzierbarkeit.</w:t>
      </w:r>
    </w:p>
    <w:p>
      <w:r>
        <w:rPr>
          <w:b/>
        </w:rPr>
        <w:t xml:space="preserve">Ergebnis: </w:t>
      </w:r>
      <w:r>
        <w:t>Konsens empfiehlt hochqualitative 3D-Bildakquisition, multiplanare Rekonstruktion, standardisierte Nomenklatur und Messungen. Prä-prozedural: 3D-Bildgebung und Measurements. Intra-prozedural: 3D-TEE, ICE, Fusionsbildgebung für Punktion und Device-Platzierung. Post-prozedural: Harmonisierte Echo- und CT-Kriterien für Device-Thrombus, Leck und Stabilität mit strukturiertem Follow-up-Pfad.</w:t>
      </w:r>
    </w:p>
    <w:p>
      <w:r>
        <w:rPr>
          <w:b/>
          <w:sz w:val="19"/>
        </w:rPr>
        <w:t xml:space="preserve">Übertragbarkeit: </w:t>
      </w:r>
      <w:r>
        <w:rPr>
          <w:sz w:val="19"/>
        </w:rPr>
        <w:t>Europäische Expertengruppe, deutsches Versorgungssystem beteiligt, unmittelbar umsetzbar</w:t>
      </w:r>
    </w:p>
    <w:p>
      <w:r>
        <w:rPr>
          <w:color w:val="5A7D3A"/>
          <w:sz w:val="18"/>
        </w:rPr>
        <w:t>https://pubmed.ncbi.nlm.nih.gov/42703764/</w:t>
      </w:r>
    </w:p>
    <w:p>
      <w:pPr>
        <w:pStyle w:val="Heading1"/>
      </w:pPr>
      <w:r>
        <w:t>Aufgenommen am 23.09.2026</w:t>
      </w:r>
    </w:p>
    <w:p>
      <w:pPr>
        <w:pStyle w:val="Heading2"/>
      </w:pPr>
      <w:r>
        <w:t>Refibrillation nach öffentlichen Defibrillatoren in Laienreanimation</w:t>
      </w:r>
    </w:p>
    <w:p>
      <w:r>
        <w:rPr>
          <w:i/>
          <w:color w:val="666666"/>
          <w:sz w:val="18"/>
        </w:rPr>
        <w:t>Kernaghan A et al.  ·  Open Heart  ·  22.09.2026  ·  PMID 42772919</w:t>
      </w:r>
    </w:p>
    <w:p>
      <w:r>
        <w:t>Analyse von 1.459 Herzstillstands-Patienten mit öffentlichen Defibrillatoren, um Refibrillations-Muster und zeitliche Verläufe zu beschreiben.</w:t>
      </w:r>
    </w:p>
    <w:p>
      <w:r>
        <w:rPr>
          <w:b/>
        </w:rPr>
        <w:t xml:space="preserve">Ergebnis: </w:t>
      </w:r>
      <w:r>
        <w:t>Refibrillation trat bei 498 Patienten (34,1%) auf mit Median-Zeit von 29,8 s nach erfolgreichem Schock. Nur 11 Patienten (4,8% der 231 mit drei Schocks) hatten schockresistentes Kammerflimmern. Bei 2-Minuten-CPR-Zyklen folgt der nächste Schock etwa 90 s später; dies unterstreicht, dass Refibrillation ein relevantes Phänomen ist.</w:t>
      </w:r>
    </w:p>
    <w:p>
      <w:r>
        <w:rPr>
          <w:b/>
          <w:sz w:val="19"/>
        </w:rPr>
        <w:t xml:space="preserve">Übertragbarkeit: </w:t>
      </w:r>
      <w:r>
        <w:rPr>
          <w:sz w:val="19"/>
        </w:rPr>
        <w:t>UK-Daten, Defibrillations-Physiologie universal</w:t>
      </w:r>
    </w:p>
    <w:p>
      <w:r>
        <w:rPr>
          <w:color w:val="5A7D3A"/>
          <w:sz w:val="18"/>
        </w:rPr>
        <w:t>https://pubmed.ncbi.nlm.nih.gov/42772919/</w:t>
      </w:r>
    </w:p>
    <w:p>
      <w:pPr>
        <w:pStyle w:val="Heading2"/>
      </w:pPr>
      <w:r>
        <w:t>Diabetes Typ 2 verschlimmert Fibrosen und Ausgang bei hypertrophischer Kardiomyopathie</w:t>
      </w:r>
    </w:p>
    <w:p>
      <w:r>
        <w:rPr>
          <w:i/>
          <w:color w:val="666666"/>
          <w:sz w:val="18"/>
        </w:rPr>
        <w:t>Cao Y et al.  ·  Int J Cardiol  ·  22.09.2026  ·  PMID 42772601</w:t>
      </w:r>
    </w:p>
    <w:p>
      <w:r>
        <w:t>Kardiale Magnetresonanz-Studie an 582 HCM-Patienten mit/ohne Diabetes Typ 2 zur Einschätzung struktureller und prognostischer Unterschiede.</w:t>
      </w:r>
    </w:p>
    <w:p>
      <w:r>
        <w:rPr>
          <w:b/>
        </w:rPr>
        <w:t xml:space="preserve">Ergebnis: </w:t>
      </w:r>
      <w:r>
        <w:t>HbA1c-Erhöhung war mit stärkerer Fibrosen-Last (6,1% vs. 2,3% late gadolinium enhancement; p &lt; 0,001) und schlechterer linksventrikulärer Längsdehnung (11,0% vs. 11,9%; p = 0,002) assoziiert. Über 35 Monate Nachsorge hatten T2DM-Patienten höheres Risiko für Endpunkt-Ereignisse (24% vs. 16%; p = 0,015). Mediationsanalyse zeigte 71% Effekt über Fibrosen vermittelt.</w:t>
      </w:r>
    </w:p>
    <w:p>
      <w:r>
        <w:rPr>
          <w:b/>
          <w:sz w:val="19"/>
        </w:rPr>
        <w:t xml:space="preserve">Übertragbarkeit: </w:t>
      </w:r>
      <w:r>
        <w:rPr>
          <w:sz w:val="19"/>
        </w:rPr>
        <w:t>China, prospektive Validierung nötig, aber HCM-Phänotyp global konsistent</w:t>
      </w:r>
    </w:p>
    <w:p>
      <w:r>
        <w:rPr>
          <w:color w:val="5A7D3A"/>
          <w:sz w:val="18"/>
        </w:rPr>
        <w:t>https://pubmed.ncbi.nlm.nih.gov/42772601/</w:t>
      </w:r>
    </w:p>
    <w:p>
      <w:pPr>
        <w:pStyle w:val="Heading2"/>
      </w:pPr>
      <w:r>
        <w:t>Interleukin-8 und Neutrophilen-Biomarker für 1-Jahres-Sterblichkeit nach Herzinfarkt</w:t>
      </w:r>
    </w:p>
    <w:p>
      <w:r>
        <w:rPr>
          <w:i/>
          <w:color w:val="666666"/>
          <w:sz w:val="18"/>
        </w:rPr>
        <w:t>Wang YJ et al.  ·  Clin Res Cardiol  ·  22.09.2026  ·  PMID 42771188</w:t>
      </w:r>
    </w:p>
    <w:p>
      <w:r>
        <w:t>Untersuchung, welche Neutrophilen-assoziierten Biomarker bei Herzinfarkt-Patienten die 1-Jahres-Sterblichkeit vorhersagen.</w:t>
      </w:r>
    </w:p>
    <w:p>
      <w:r>
        <w:rPr>
          <w:b/>
        </w:rPr>
        <w:t xml:space="preserve">Ergebnis: </w:t>
      </w:r>
      <w:r>
        <w:t>IL-8 (Median: 66,82 vs. 41,24 pg/mL; p = 0,001) und zellfreie DNA waren signifikant erhöht bei Fällen mit Tod oder erneutem Herzinfarkt innerhalb eines Jahres. IL-8 zeigte die stärkste Assoziation mit Sterblichkeit (OR = 2,14; p = 0,019 für Tod) und war am höchsten in der hyperakuten Phase (&lt;6 h), noch vor hochsensitivem Troponin T. Diese Marker könnten die frühe Risikostratifizierung verbessern.</w:t>
      </w:r>
    </w:p>
    <w:p>
      <w:r>
        <w:rPr>
          <w:b/>
          <w:sz w:val="19"/>
        </w:rPr>
        <w:t xml:space="preserve">Übertragbarkeit: </w:t>
      </w:r>
      <w:r>
        <w:rPr>
          <w:sz w:val="19"/>
        </w:rPr>
        <w:t>Schweizer Kohortendaten (SPUM-ACS), vergleichbar mit deutschem Dokumentations­standard</w:t>
      </w:r>
    </w:p>
    <w:p>
      <w:r>
        <w:rPr>
          <w:color w:val="5A7D3A"/>
          <w:sz w:val="18"/>
        </w:rPr>
        <w:t>https://pubmed.ncbi.nlm.nih.gov/42771188/</w:t>
      </w:r>
    </w:p>
    <w:p>
      <w:pPr>
        <w:pStyle w:val="Heading2"/>
      </w:pPr>
      <w:r>
        <w:t>Frühe Empagliflozin-Gabe senkt Sterblichkeit nach Herzinsuffizienz-Hospitalisierung</w:t>
      </w:r>
    </w:p>
    <w:p>
      <w:r>
        <w:rPr>
          <w:i/>
          <w:color w:val="666666"/>
          <w:sz w:val="18"/>
        </w:rPr>
        <w:t>Greene SJ et al.  ·  ESC Heart Fail  ·  22.09.2026  ·  PMID 42770322</w:t>
      </w:r>
    </w:p>
    <w:p>
      <w:r>
        <w:t>Vergleich der 1-Jahres-Ergebnisse bei früher (während Aufenthalt oder 0–7 Tage nach Entlassung) versus verzögerter oder keiner Empagliflozin-Initiation nach Krankenhausaufenthalt wegen Herzinsuffizienz.</w:t>
      </w:r>
    </w:p>
    <w:p>
      <w:r>
        <w:rPr>
          <w:b/>
        </w:rPr>
        <w:t xml:space="preserve">Ergebnis: </w:t>
      </w:r>
      <w:r>
        <w:t>Frühe Empagliflozin-Initiation war mit niedrigerer 1-Jahres-Sterblichkeit assoziiert (RR 0,73, 95%-KI: 0,69–0,78). Absolute Mortalitätsrisiken betrugen 24,7% (früh), 31,1% (intermediate) und 33,6% (verzögert/keine). Frühe Initiation reduzierte auch Wiederaufnahmen (RR 0,86, KI: 0,81–0,92) und Notfall-Besuche (RR 0,87, KI: 0,82–0,93).</w:t>
      </w:r>
    </w:p>
    <w:p>
      <w:r>
        <w:rPr>
          <w:b/>
          <w:sz w:val="19"/>
        </w:rPr>
        <w:t xml:space="preserve">Übertragbarkeit: </w:t>
      </w:r>
      <w:r>
        <w:rPr>
          <w:sz w:val="19"/>
        </w:rPr>
        <w:t>US-Verwaltungsdaten (Optum), Ergebnis unabhängig von Versorgungssystem</w:t>
      </w:r>
    </w:p>
    <w:p>
      <w:r>
        <w:rPr>
          <w:color w:val="5A7D3A"/>
          <w:sz w:val="18"/>
        </w:rPr>
        <w:t>https://pubmed.ncbi.nlm.nih.gov/42770322/</w:t>
      </w:r>
    </w:p>
    <w:p>
      <w:pPr>
        <w:pStyle w:val="Heading2"/>
      </w:pPr>
      <w:r>
        <w:t>Kurzkettige Fettsäuren fördern Herzinfarkt-Heilung via Makrophagen-Weg</w:t>
      </w:r>
    </w:p>
    <w:p>
      <w:r>
        <w:rPr>
          <w:i/>
          <w:color w:val="666666"/>
          <w:sz w:val="18"/>
        </w:rPr>
        <w:t>Zhang Q et al.  ·  Basic Res Cardiol  ·  21.09.2026  ·  PMID 42766108</w:t>
      </w:r>
    </w:p>
    <w:p>
      <w:r>
        <w:t>Integrierte klinische und experimentelle Studie zum Einfluss von Blutspiegel-Kurzkettige-Fettsäuren (Butyrat, Propionat) auf Post-Infarkt-Remodeling im Menschen und Mausmodell.</w:t>
      </w:r>
    </w:p>
    <w:p>
      <w:r>
        <w:rPr>
          <w:b/>
        </w:rPr>
        <w:t xml:space="preserve">Ergebnis: </w:t>
      </w:r>
      <w:r>
        <w:t>Im Menschen waren zirkulierende Kurzketten-Fettsäuren nach Herzinfarkt deutlich erniedrigt und assoziiert mit komplexeren koronaren Läsionen und höherem MACE-Risiko. Im Maus-Herzinfarkt: SCFA-Supplementierung reduzierte Infarkt-Expansion, Kardiomyozyten-Apoptose und kardiale Ruptur und verbesserte linksventrikuläre Funktion. Mechanistisch: FFAR2-Aktivierung unterdrückt osteoklasten-ähnliche Makrophagen-Differenzierung.</w:t>
      </w:r>
    </w:p>
    <w:p>
      <w:r>
        <w:rPr>
          <w:b/>
          <w:sz w:val="19"/>
        </w:rPr>
        <w:t xml:space="preserve">Übertragbarkeit: </w:t>
      </w:r>
      <w:r>
        <w:rPr>
          <w:sz w:val="19"/>
        </w:rPr>
        <w:t>Deutsch-chinesische Kooperation (Beijing), Mechanisms gelten translational</w:t>
      </w:r>
    </w:p>
    <w:p>
      <w:r>
        <w:rPr>
          <w:color w:val="5A7D3A"/>
          <w:sz w:val="18"/>
        </w:rPr>
        <w:t>https://pubmed.ncbi.nlm.nih.gov/42766108/</w:t>
      </w:r>
    </w:p>
    <w:p>
      <w:pPr>
        <w:pStyle w:val="Heading2"/>
      </w:pPr>
      <w:r>
        <w:t>Neuer Kalziumkanal-Modulator bessert hypertrophe Kardiomyopathie</w:t>
      </w:r>
    </w:p>
    <w:p>
      <w:r>
        <w:rPr>
          <w:i/>
          <w:color w:val="666666"/>
          <w:sz w:val="18"/>
        </w:rPr>
        <w:t>Er TS et al.  ·  Circ Res  ·  18.09.2026  ·  PMID 42755710</w:t>
      </w:r>
    </w:p>
    <w:p>
      <w:r>
        <w:t>Experimentelle Grundlagenstudie an einem Tiermodell zur Wirksamkeit eines neuartigen Kalziumkanal-Modulators gegen Herzhypertrophie.</w:t>
      </w:r>
    </w:p>
    <w:p>
      <w:r>
        <w:rPr>
          <w:b/>
        </w:rPr>
        <w:t xml:space="preserve">Ergebnis: </w:t>
      </w:r>
      <w:r>
        <w:t>Abstract stellt nur die Untersuchung dar, nennt aber keine quantitativen Ergebnisse zur Wirkung oder zum Ausmaß der Besserung.</w:t>
      </w:r>
    </w:p>
    <w:p>
      <w:r>
        <w:rPr>
          <w:b/>
          <w:sz w:val="19"/>
        </w:rPr>
        <w:t xml:space="preserve">Übertragbarkeit: </w:t>
      </w:r>
      <w:r>
        <w:rPr>
          <w:sz w:val="19"/>
        </w:rPr>
        <w:t>Australisch-deutsches Grundlagenwerk, noch klinischer Weg unklar</w:t>
      </w:r>
    </w:p>
    <w:p>
      <w:r>
        <w:rPr>
          <w:color w:val="5A7D3A"/>
          <w:sz w:val="18"/>
        </w:rPr>
        <w:t>https://pubmed.ncbi.nlm.nih.gov/42755710/</w:t>
      </w:r>
    </w:p>
    <w:p>
      <w:pPr>
        <w:pStyle w:val="Heading1"/>
      </w:pPr>
      <w:r>
        <w:t>Aufgenommen am 22.09.2026</w:t>
      </w:r>
    </w:p>
    <w:p>
      <w:pPr>
        <w:pStyle w:val="Heading2"/>
      </w:pPr>
      <w:r>
        <w:t>Blutdruckoptimierung senkt intrakranielle Blutung nach Tenecteplase bei Myokardinfarkt</w:t>
      </w:r>
    </w:p>
    <w:p>
      <w:r>
        <w:rPr>
          <w:i/>
          <w:color w:val="666666"/>
          <w:sz w:val="18"/>
        </w:rPr>
        <w:t>Armstrong PW et al.  ·  Eur Heart J  ·  21.09.2026  ·  PMID 42766418</w:t>
      </w:r>
    </w:p>
    <w:p>
      <w:r>
        <w:t>Poolanalyse von 15.954 STEMI-Patienten aus 6 randomisierten Studien zur Ermittlung von Risikofaktoren für intrakranielle Blutung nach Fibrinolyse-Therapie mit Tenecteplase.</w:t>
      </w:r>
    </w:p>
    <w:p>
      <w:r>
        <w:rPr>
          <w:b/>
        </w:rPr>
        <w:t xml:space="preserve">Ergebnis: </w:t>
      </w:r>
      <w:r>
        <w:t>Für jeden 1 mmHg Anstieg des systolischen Blutdrucks über 110 mmHg erhöhte sich das ICH-Risiko um 2% (aOR 1,02; KI 1,01–1,03; p&lt;0,0001). Weibliches Geschlecht (aOR 1,49; KI 1,06–2,11) und niedriges Körpergewicht (je 5 kg Abnahme aOR 1,16; KI 1,03–1,30) erhöhten das Risiko signifikant. Ein Nomogramm mit Age-Dose-Interaktion zeigte gute Diskriminanz (C-Index 0,718).</w:t>
      </w:r>
    </w:p>
    <w:p>
      <w:r>
        <w:rPr>
          <w:b/>
          <w:sz w:val="19"/>
        </w:rPr>
        <w:t xml:space="preserve">Übertragbarkeit: </w:t>
      </w:r>
      <w:r>
        <w:rPr>
          <w:sz w:val="19"/>
        </w:rPr>
        <w:t>Internationale Myokardinfarkt-Studien mit standardisierter Blutdruck-Exclusion</w:t>
      </w:r>
    </w:p>
    <w:p>
      <w:r>
        <w:rPr>
          <w:color w:val="5A7D3A"/>
          <w:sz w:val="18"/>
        </w:rPr>
        <w:t>https://pubmed.ncbi.nlm.nih.gov/42766418/</w:t>
      </w:r>
    </w:p>
    <w:p>
      <w:pPr>
        <w:pStyle w:val="Heading2"/>
      </w:pPr>
      <w:r>
        <w:t>FFR-gesteuertes Revaskularisieren bei NSTE-ACS verringert unnötige Eingriffe</w:t>
      </w:r>
    </w:p>
    <w:p>
      <w:r>
        <w:rPr>
          <w:i/>
          <w:color w:val="666666"/>
          <w:sz w:val="18"/>
        </w:rPr>
        <w:t>Paolucci L et al.  ·  EuroIntervention  ·  21.09.2026  ·  PMID 42765399</w:t>
      </w:r>
    </w:p>
    <w:p>
      <w:r>
        <w:t>Meta-Analyse von 5 randomisierten Studien mit 2.493 Patienten (52,8% Chronische Koronarsyndrom, 47,2% NSTE-ACS) zu Outcomes nach FFR-gesteuert vs. angiographisch-gesteuerter PCI.</w:t>
      </w:r>
    </w:p>
    <w:p>
      <w:r>
        <w:rPr>
          <w:b/>
        </w:rPr>
        <w:t xml:space="preserve">Ergebnis: </w:t>
      </w:r>
      <w:r>
        <w:t>FFR-Strategie war mit ähnlicher MACE-Rate bei 1 Jahr assoziiert in NSTE-ACS (HR 0,86; KI 0,63–1,18) und CCS (HR 0,78; KI 0,58–1,05); p-Interaktion=0,792. Keine erhöhte MACE-Rate durch Lesion-Deferral. Befund über 5 Jahre bestätigt.</w:t>
      </w:r>
    </w:p>
    <w:p>
      <w:r>
        <w:rPr>
          <w:b/>
          <w:sz w:val="19"/>
        </w:rPr>
        <w:t xml:space="preserve">Übertragbarkeit: </w:t>
      </w:r>
      <w:r>
        <w:rPr>
          <w:sz w:val="19"/>
        </w:rPr>
        <w:t>Europäische Studiennetze, direkt auf deutsches Revaskularisierungs-Management übertragbar</w:t>
      </w:r>
    </w:p>
    <w:p>
      <w:r>
        <w:rPr>
          <w:color w:val="5A7D3A"/>
          <w:sz w:val="18"/>
        </w:rPr>
        <w:t>https://pubmed.ncbi.nlm.nih.gov/42765399/</w:t>
      </w:r>
    </w:p>
    <w:p>
      <w:pPr>
        <w:pStyle w:val="Heading2"/>
      </w:pPr>
      <w:r>
        <w:t>SCAI-V-Klassifikation stratifiziert Kardiogenen Schock nach Reanimation und vorhersagt Sterblichkeit</w:t>
      </w:r>
    </w:p>
    <w:p>
      <w:r>
        <w:rPr>
          <w:i/>
          <w:color w:val="666666"/>
          <w:sz w:val="18"/>
        </w:rPr>
        <w:t>Roy R et al.  ·  EuroIntervention  ·  21.09.2026  ·  PMID 42765398</w:t>
      </w:r>
    </w:p>
    <w:p>
      <w:r>
        <w:t>Neue Klassifikation des kardiogenen Schocks nach außerklinischem Herzstillstand mittels Schockgrad und Laktat-Level; Derivation (London, Gdańsk; n=627) und externe Validation (TTM-2-Kohorte; n=1.781).</w:t>
      </w:r>
    </w:p>
    <w:p>
      <w:r>
        <w:rPr>
          <w:b/>
        </w:rPr>
        <w:t xml:space="preserve">Ergebnis: </w:t>
      </w:r>
      <w:r>
        <w:t>SCAI-V mit 4 Phänotypen: Non-Shock (Überlebensrate 78% Derivation, 68% Validation), Haemometabolic Shock (20%/27%) als höchstes Mortalitätsrisiko. SCAI-V zeigte besseres Model-Fit und Diskriminanz als SCAI-2022 und -2019. Alle-Ursachen-Mortalität p&lt;0,001.</w:t>
      </w:r>
    </w:p>
    <w:p>
      <w:r>
        <w:rPr>
          <w:b/>
          <w:sz w:val="19"/>
        </w:rPr>
        <w:t xml:space="preserve">Übertragbarkeit: </w:t>
      </w:r>
      <w:r>
        <w:rPr>
          <w:sz w:val="19"/>
        </w:rPr>
        <w:t>Europäische Intensivmedizin und Reanimations-Praxis, vergleichbare Standards</w:t>
      </w:r>
    </w:p>
    <w:p>
      <w:r>
        <w:rPr>
          <w:color w:val="5A7D3A"/>
          <w:sz w:val="18"/>
        </w:rPr>
        <w:t>https://pubmed.ncbi.nlm.nih.gov/42765398/</w:t>
      </w:r>
    </w:p>
    <w:p>
      <w:pPr>
        <w:pStyle w:val="Heading2"/>
      </w:pPr>
      <w:r>
        <w:t>Herztransplantation und mechanische Kreislaufunterstützung verbessern Lebensqualität älterer Patienten unterschiedlich</w:t>
      </w:r>
    </w:p>
    <w:p>
      <w:r>
        <w:rPr>
          <w:i/>
          <w:color w:val="666666"/>
          <w:sz w:val="18"/>
        </w:rPr>
        <w:t>Grady KL et al.  ·  Circ Heart Fail  ·  21.09.2026  ·  PMID 42765308</w:t>
      </w:r>
    </w:p>
    <w:p>
      <w:r>
        <w:t>Prospektive Beobachtungsstudie der SUSTAIN-IT-Studie mit 305 älteren Patienten (60–80 Jahre) von 13 US-Zentren zu Veränderung der gesundheitsbezogenen Lebensqualität vom präoperativen Zeitpunkt bis 24 Monate nach Herztransplantation oder mechanischer Unterstützung.</w:t>
      </w:r>
    </w:p>
    <w:p>
      <w:r>
        <w:rPr>
          <w:b/>
        </w:rPr>
        <w:t xml:space="preserve">Ergebnis: </w:t>
      </w:r>
      <w:r>
        <w:t>HT ohne Präoperative MCS und langfristige MCS: signifikante Verbesserung im EQ-5D-3L Visual Analog Scale innerhalb 6 Monaten, sustained über 24 Monate. Kansas City Cardiomyopathy Questionnaire verbesserte sich in allen 3 Gruppen. MCS zeigte Reduktion von -11,2 Punkten (KI -17,3 bis -5,1; p&lt;0,001) vs. HT ohne MCS.</w:t>
      </w:r>
    </w:p>
    <w:p>
      <w:r>
        <w:rPr>
          <w:b/>
          <w:sz w:val="19"/>
        </w:rPr>
        <w:t xml:space="preserve">Übertragbarkeit: </w:t>
      </w:r>
      <w:r>
        <w:rPr>
          <w:sz w:val="19"/>
        </w:rPr>
        <w:t>USA-Studie, aber HRQOL-Methoden und Outcomemessung sind international standardisiert</w:t>
      </w:r>
    </w:p>
    <w:p>
      <w:r>
        <w:rPr>
          <w:color w:val="5A7D3A"/>
          <w:sz w:val="18"/>
        </w:rPr>
        <w:t>https://pubmed.ncbi.nlm.nih.gov/42765308/</w:t>
      </w:r>
    </w:p>
    <w:p>
      <w:pPr>
        <w:pStyle w:val="Heading2"/>
      </w:pPr>
      <w:r>
        <w:t>Screeningalgorithmus für Titin-Trunkierungs-Träger senkt Überdiagnose und spart Ressourcen</w:t>
      </w:r>
    </w:p>
    <w:p>
      <w:r>
        <w:rPr>
          <w:i/>
          <w:color w:val="666666"/>
          <w:sz w:val="18"/>
        </w:rPr>
        <w:t>Muller SA et al.  ·  Circ Heart Fail  ·  21.09.2026  ·  PMID 42765307</w:t>
      </w:r>
    </w:p>
    <w:p>
      <w:r>
        <w:t>Multizentrische prospektive Studie von 413 verwandten Trägern pathogener Titin-Trunkierungs-Varianten (Folgup 301 Patienten, median 5,7 Jahre) zur Entwicklung eines Screening-Algorithmus für dilatative Kardiomyopathie.</w:t>
      </w:r>
    </w:p>
    <w:p>
      <w:r>
        <w:rPr>
          <w:b/>
        </w:rPr>
        <w:t xml:space="preserve">Ergebnis: </w:t>
      </w:r>
      <w:r>
        <w:t>24,6% entwickelten linksventrikuläre Disfunktion oder Dilatation, 17,3% DCM. 3 Risikoprofile definiert (partielle DCM, weiblich ≥30 Jahre, weiblich &lt;30 Jahre) mit empfohlenen Screening-Intervallen von 1, 3, 5 Jahren. 5,3% erlebten Major Adverse Cardiac Events nach DCM-Diagnose.</w:t>
      </w:r>
    </w:p>
    <w:p>
      <w:r>
        <w:rPr>
          <w:b/>
          <w:sz w:val="19"/>
        </w:rPr>
        <w:t xml:space="preserve">Übertragbarkeit: </w:t>
      </w:r>
      <w:r>
        <w:rPr>
          <w:sz w:val="19"/>
        </w:rPr>
        <w:t>Europäisches Netzwerk seltene Herzerkrankungen, nationale genetische Screeningprogramme</w:t>
      </w:r>
    </w:p>
    <w:p>
      <w:r>
        <w:rPr>
          <w:color w:val="5A7D3A"/>
          <w:sz w:val="18"/>
        </w:rPr>
        <w:t>https://pubmed.ncbi.nlm.nih.gov/42765307/</w:t>
      </w:r>
    </w:p>
    <w:p>
      <w:pPr>
        <w:pStyle w:val="Heading2"/>
      </w:pPr>
      <w:r>
        <w:t>Erhöhtes β-Hydroxybutyrat vorhersagt Sterblichkeit bei Herzinsuffizienz unabhängig von etablierten Risiken</w:t>
      </w:r>
    </w:p>
    <w:p>
      <w:r>
        <w:rPr>
          <w:i/>
          <w:color w:val="666666"/>
          <w:sz w:val="18"/>
        </w:rPr>
        <w:t>Palm CL et al.  ·  ESC Heart Fail  ·  27.08.2026  ·  PMID 42764375</w:t>
      </w:r>
    </w:p>
    <w:p>
      <w:r>
        <w:t>Proteomic-Analyse von 478 Herzinsuffizienz-Patienten aus der BIOSTAT-CHF-Kohorte zur Assoziation von Ketokörpern mit Mortalität und zugrundeliegenden Mechanismen.</w:t>
      </w:r>
    </w:p>
    <w:p>
      <w:r>
        <w:rPr>
          <w:b/>
        </w:rPr>
        <w:t xml:space="preserve">Ergebnis: </w:t>
      </w:r>
      <w:r>
        <w:t>Jede Verdopplung von β-Hydroxybutyrat war mit 36,4% höherer Mortalität assoziiert (adjustierte HR 1,389; KI 1,150–1,677; p&lt;0,001). Pathway-Analyse zeigte Hochregulation von Entzündungs- und Katabalie-Genen; 76% der Mortalitäts-Assoziation wurde durch diese biologischen Pfade erklärt.</w:t>
      </w:r>
    </w:p>
    <w:p>
      <w:r>
        <w:rPr>
          <w:b/>
          <w:sz w:val="19"/>
        </w:rPr>
        <w:t xml:space="preserve">Übertragbarkeit: </w:t>
      </w:r>
      <w:r>
        <w:rPr>
          <w:sz w:val="19"/>
        </w:rPr>
        <w:t>Niederländische-deutsche Multinationale Kohorte, europäische Biomarker-Standards</w:t>
      </w:r>
    </w:p>
    <w:p>
      <w:r>
        <w:rPr>
          <w:color w:val="5A7D3A"/>
          <w:sz w:val="18"/>
        </w:rPr>
        <w:t>https://pubmed.ncbi.nlm.nih.gov/42764375/</w:t>
      </w:r>
    </w:p>
    <w:p>
      <w:pPr>
        <w:pStyle w:val="Heading1"/>
      </w:pPr>
      <w:r>
        <w:t>Aufgenommen am 21.09.2026</w:t>
      </w:r>
    </w:p>
    <w:p>
      <w:pPr>
        <w:pStyle w:val="Heading2"/>
      </w:pPr>
      <w:r>
        <w:t>Wearable mediane Nervenstimulation reduziert Vorhofflimmern nach Ablation</w:t>
      </w:r>
    </w:p>
    <w:p>
      <w:r>
        <w:rPr>
          <w:i/>
          <w:color w:val="666666"/>
          <w:sz w:val="18"/>
        </w:rPr>
        <w:t>Reddy VY et al.  ·  Heart Rhythm  ·  20.09.2026  ·  PMID 42764112</w:t>
      </w:r>
    </w:p>
    <w:p>
      <w:r>
        <w:t>Pilot-RCT zur kutanen medianen Nervenstimulation (MNS) mittels tragbarem Gerät zur Hemmung des autonomen Nervensystems nach Vorhofflimmer-Ablation. 77 Patienten randomisiert, 59 in modifizierter Intention-to-treat-Population ausgewertet.</w:t>
      </w:r>
    </w:p>
    <w:p>
      <w:r>
        <w:rPr>
          <w:b/>
        </w:rPr>
        <w:t xml:space="preserve">Ergebnis: </w:t>
      </w:r>
      <w:r>
        <w:t>In Monaten 2–6 post-blanking traten Vorhofflimmern/Vorhofflattern/Flattern-Ereignisse unter MNS deutlich seltener auf: 12 vs. 243 Events (Rate Ratio 17,93, 95%-KI 10,04–32,0, p&lt;0,0001). Nach Ausschluss eines Hochlast-Ausreißers: 12 vs. 28 Events (RR 2,17, 95%-KI 1,10–4,27, p=0,025). Arrhythmie-Freiheit nach 6 Monaten: 90,0% (MNS) vs. 80,8% (Sham), Hazard Ratio 2,15 (95%-KI 0,42–11,1, p=0,36). Keine ernsthafte unerwünschte Ereignisse gemeldet.</w:t>
      </w:r>
    </w:p>
    <w:p>
      <w:r>
        <w:rPr>
          <w:b/>
          <w:sz w:val="19"/>
        </w:rPr>
        <w:t xml:space="preserve">Übertragbarkeit: </w:t>
      </w:r>
      <w:r>
        <w:rPr>
          <w:sz w:val="19"/>
        </w:rPr>
        <w:t>USA-Pilotstudie, Sicherheitsdaten übertragbar; Wirksamkeit bedarf größerer RCT</w:t>
      </w:r>
    </w:p>
    <w:p>
      <w:r>
        <w:rPr>
          <w:color w:val="5A7D3A"/>
          <w:sz w:val="18"/>
        </w:rPr>
        <w:t>https://pubmed.ncbi.nlm.nih.gov/42764112/</w:t>
      </w:r>
    </w:p>
    <w:p>
      <w:pPr>
        <w:pStyle w:val="Heading2"/>
      </w:pPr>
      <w:r>
        <w:t>STAR Apollo™-Mapping lenkt Redo-Ablation für rezidivierendes Vorhofflimmern: 82,5% Sinusrhythmus nach 12 Monaten</w:t>
      </w:r>
    </w:p>
    <w:p>
      <w:r>
        <w:rPr>
          <w:i/>
          <w:color w:val="666666"/>
          <w:sz w:val="18"/>
        </w:rPr>
        <w:t>Kabra R et al.  ·  Heart Rhythm  ·  20.09.2026  ·  PMID 42764111</w:t>
      </w:r>
    </w:p>
    <w:p>
      <w:r>
        <w:t>Prospektive multizentrische Machbarkeitsstudie: STAR Apollo-System (Stochastischer Trajektorie-Analyse zum Auffinden repetitiver Muster und früher Aktivierungsstellen) bei 50 Patienten mit rezidivierendem persistentem Vorhofflimmern nach Pulmonalvenenisolation. Follow-up 12 Monate.</w:t>
      </w:r>
    </w:p>
    <w:p>
      <w:r>
        <w:rPr>
          <w:b/>
        </w:rPr>
        <w:t xml:space="preserve">Ergebnis: </w:t>
      </w:r>
      <w:r>
        <w:t>Pulmonalvenenwiederverschluss 92,0% (46/50). Sinusrhythmus ohne Kardioversion 46,0%, mit Kardioversion insgesamt 98,0%. Bei 12-Monats-Follow-up (n=40 Patienten): 33 (82,5%) im Sinusrhythmus, Symptomklasse EHRA I in 76,7%. Kaplan-Meier-Analyse (Single-Prozedur): AF-Freiheit 95,3% (6 Monate), 75,3% (12 Monate). Eine Perikarderguss-Komplikation (2,0%).</w:t>
      </w:r>
    </w:p>
    <w:p>
      <w:r>
        <w:rPr>
          <w:b/>
          <w:sz w:val="19"/>
        </w:rPr>
        <w:t xml:space="preserve">Übertragbarkeit: </w:t>
      </w:r>
      <w:r>
        <w:rPr>
          <w:sz w:val="19"/>
        </w:rPr>
        <w:t>USA-Multizenterstudie; System FDA-genehmigt; Machbarkeit und Sicherheit belegt</w:t>
      </w:r>
    </w:p>
    <w:p>
      <w:r>
        <w:rPr>
          <w:color w:val="5A7D3A"/>
          <w:sz w:val="18"/>
        </w:rPr>
        <w:t>https://pubmed.ncbi.nlm.nih.gov/42764111/</w:t>
      </w:r>
    </w:p>
    <w:p>
      <w:pPr>
        <w:pStyle w:val="Heading2"/>
      </w:pPr>
      <w:r>
        <w:t>MYBPC3-Mutationen treiben schwere linksventrikuläre Hypertrophie in pädiatrischer HCM</w:t>
      </w:r>
    </w:p>
    <w:p>
      <w:r>
        <w:rPr>
          <w:i/>
          <w:color w:val="666666"/>
          <w:sz w:val="18"/>
        </w:rPr>
        <w:t>Pahl E et al.  ·  JACC Heart Fail  ·  17.09.2026  ·  PMID 42758059</w:t>
      </w:r>
    </w:p>
    <w:p>
      <w:r>
        <w:t>Genotyp-Phänotyp-Studie aus US-Pädiatriekardiologie-Zentren: 143 Kinder mit HCM, Exom-Sequenzierung, Echokardiographie mit z-Score-Klassifikation der LV-Wanddicke (mild/moderat/schwer).</w:t>
      </w:r>
    </w:p>
    <w:p>
      <w:r>
        <w:rPr>
          <w:b/>
        </w:rPr>
        <w:t xml:space="preserve">Ergebnis: </w:t>
      </w:r>
      <w:r>
        <w:t>51% der Kinder trugen pathogene Varianten (93% sarkomisch). Schwere LVH (28%, n=40) korrelierte mit jüngeres Alter (6,4 vs. 12,9 Jahre, p=0,005) und höherer Wahrscheinlichkeit pathogener Varianten; MYBPC3-Assoziation besonders stark (OR 4,1, 95%-KI 1,7–9,9). Missense-Varianten in MYBPC3 überwogen in Schwer-Fällen gegenüber Stop/Indel/Splicing.</w:t>
      </w:r>
    </w:p>
    <w:p>
      <w:r>
        <w:rPr>
          <w:b/>
          <w:sz w:val="19"/>
        </w:rPr>
        <w:t xml:space="preserve">Übertragbarkeit: </w:t>
      </w:r>
      <w:r>
        <w:rPr>
          <w:sz w:val="19"/>
        </w:rPr>
        <w:t>USA-Register; Genotypisierung auch in Deutschland verfügbar; Kinderkardiologie strukturiert</w:t>
      </w:r>
    </w:p>
    <w:p>
      <w:r>
        <w:rPr>
          <w:color w:val="5A7D3A"/>
          <w:sz w:val="18"/>
        </w:rPr>
        <w:t>https://pubmed.ncbi.nlm.nih.gov/42758059/</w:t>
      </w:r>
    </w:p>
    <w:p>
      <w:pPr>
        <w:pStyle w:val="Heading2"/>
      </w:pPr>
      <w:r>
        <w:t>Alleinige Kulprit-Revaskularisierung bei Herzinfarkt mit Kardiogenem Schock</w:t>
      </w:r>
    </w:p>
    <w:p>
      <w:r>
        <w:rPr>
          <w:i/>
          <w:color w:val="666666"/>
          <w:sz w:val="18"/>
        </w:rPr>
        <w:t>Bogerd M et al.  ·  J Am Heart Assoc  ·  18.09.2026  ·  PMID 42757943</w:t>
      </w:r>
    </w:p>
    <w:p>
      <w:r>
        <w:t>Registerstudie aus den Niederlanden zu Revaskularisierungsstrategie (Culprit-only vs. Multivessel) bei akutem Myokardinfarkt mit kardiogenem Schock.</w:t>
      </w:r>
    </w:p>
    <w:p>
      <w:r>
        <w:rPr>
          <w:b/>
        </w:rPr>
        <w:t xml:space="preserve">Ergebnis: </w:t>
      </w:r>
      <w:r>
        <w:t>Keine statistisch signifikanten Unterschiede in Krankenhausmortalität, wiederholter Revaskularisierung oder Stentrestenose bei Culprit-only-Strategie. Daten bestätigen Sicherheit und Effizienz des Culprit-only-Ansatzes in realer Versorgungspraxis, um unnötige Koronarverletzung zu vermeiden.</w:t>
      </w:r>
    </w:p>
    <w:p>
      <w:r>
        <w:rPr>
          <w:b/>
          <w:sz w:val="19"/>
        </w:rPr>
        <w:t xml:space="preserve">Übertragbarkeit: </w:t>
      </w:r>
      <w:r>
        <w:rPr>
          <w:sz w:val="19"/>
        </w:rPr>
        <w:t>Niederlande, ähnliches Gesundheitssystem; deutsches Infarktmanagement orientiert sich an europäischen Leitlinien</w:t>
      </w:r>
    </w:p>
    <w:p>
      <w:r>
        <w:rPr>
          <w:color w:val="5A7D3A"/>
          <w:sz w:val="18"/>
        </w:rPr>
        <w:t>https://pubmed.ncbi.nlm.nih.gov/42757943/</w:t>
      </w:r>
    </w:p>
    <w:p>
      <w:pPr>
        <w:pStyle w:val="Heading2"/>
      </w:pPr>
      <w:r>
        <w:t>Krebspatienten mit Herzinfarkt erhalten gleich oft Koronarintervention wie ohne Krebs</w:t>
      </w:r>
    </w:p>
    <w:p>
      <w:r>
        <w:rPr>
          <w:i/>
          <w:color w:val="666666"/>
          <w:sz w:val="18"/>
        </w:rPr>
        <w:t>Greco A et al.  ·  Int J Cardiol  ·  17.09.2026  ·  PMID 42754098</w:t>
      </w:r>
    </w:p>
    <w:p>
      <w:r>
        <w:t>EYESHOT-2-Register: Vergleich Herzinfarkt-Management bei Patienten mit aktuellem Krebs (3,5%), früheren Krebs (4,8%) vs. ohne Krebs; 2797 Patienten in italienischen Herzkliniken.</w:t>
      </w:r>
    </w:p>
    <w:p>
      <w:r>
        <w:rPr>
          <w:b/>
        </w:rPr>
        <w:t xml:space="preserve">Ergebnis: </w:t>
      </w:r>
      <w:r>
        <w:t>PCI-Raten STEMI: 95,6% (aktiv Krebs), 97,1% (Vorgeschichte), 94,0% (kein Krebs), p=0,65. NSTEMI: 69,8%, 73,8%, 73,3%, p=0,84. Nach Adjustierung kein signifikanter Unterschied in PCI-Verzicht (STEMI p=0,42, NSTEMI p=0,78). Blutungskomplikationen in NSTEMI erhöht bei Krebs (5,7 % und 4,6% vs. 1,7%, p=0,03).</w:t>
      </w:r>
    </w:p>
    <w:p>
      <w:r>
        <w:rPr>
          <w:b/>
          <w:sz w:val="19"/>
        </w:rPr>
        <w:t xml:space="preserve">Übertragbarkeit: </w:t>
      </w:r>
      <w:r>
        <w:rPr>
          <w:sz w:val="19"/>
        </w:rPr>
        <w:t>Italien, europäisches Versicherungssystem; Datenqualität durch nationales ANMCO-Register</w:t>
      </w:r>
    </w:p>
    <w:p>
      <w:r>
        <w:rPr>
          <w:color w:val="5A7D3A"/>
          <w:sz w:val="18"/>
        </w:rPr>
        <w:t>https://pubmed.ncbi.nlm.nih.gov/42754098/</w:t>
      </w:r>
    </w:p>
    <w:p>
      <w:pPr>
        <w:pStyle w:val="Heading2"/>
      </w:pPr>
      <w:r>
        <w:t>Kolchizin senkt perioperative Herzinfarkte nach Brustkorb-OP, unabhängig von KHK-Status</w:t>
      </w:r>
    </w:p>
    <w:p>
      <w:r>
        <w:rPr>
          <w:i/>
          <w:color w:val="666666"/>
          <w:sz w:val="18"/>
        </w:rPr>
        <w:t>Razeghi G et al.  ·  Open Heart  ·  15.09.2026  ·  PMID 42744416</w:t>
      </w:r>
    </w:p>
    <w:p>
      <w:r>
        <w:t>Sekundäranalyse der COP-AF-RCT: Kolchizin 0,5 mg vs. Placebo 2×täglich für 10 Tage perioperativ bei nicht-kardialer Brustkorb-Chirurgie; Endpunkt Myokardverletzung nach nicht-kardialer Operation (MINS).</w:t>
      </w:r>
    </w:p>
    <w:p>
      <w:r>
        <w:rPr>
          <w:b/>
        </w:rPr>
        <w:t xml:space="preserve">Ergebnis: </w:t>
      </w:r>
      <w:r>
        <w:t>MINS trat bei Patienten mit KHK häufiger auf (29,3% vs. 18,2% ohne KHK, adjustiert HR 1,53, 95%-KI 1,22–1,92, p&lt;0,001). Kolchizin zeigte keinen signifikanten differenziellen Effekt nach KHK-Status (HR 0,82 vs. 0,91, p für Interaktion=0,61). Für Endpunkt Death/Stroke/MINS: aHR 1,53 (95%-KI 1,22–1,91) bei KHK.</w:t>
      </w:r>
    </w:p>
    <w:p>
      <w:r>
        <w:rPr>
          <w:b/>
          <w:sz w:val="19"/>
        </w:rPr>
        <w:t xml:space="preserve">Übertragbarkeit: </w:t>
      </w:r>
      <w:r>
        <w:rPr>
          <w:sz w:val="19"/>
        </w:rPr>
        <w:t>Multi-nationale RCT (Kanada, Europa, Asien), europäische Chirurgieleitlinien übertragbar</w:t>
      </w:r>
    </w:p>
    <w:p>
      <w:r>
        <w:rPr>
          <w:color w:val="5A7D3A"/>
          <w:sz w:val="18"/>
        </w:rPr>
        <w:t>https://pubmed.ncbi.nlm.nih.gov/42744416/</w:t>
      </w:r>
    </w:p>
    <w:p>
      <w:pPr>
        <w:pStyle w:val="Heading2"/>
      </w:pPr>
      <w:r>
        <w:t>Genotyp bestimmt Linkschenkelblock-Phänotyp und Symptomatik bei dilatativer Kardiomyopathie</w:t>
      </w:r>
    </w:p>
    <w:p>
      <w:r>
        <w:rPr>
          <w:i/>
          <w:color w:val="666666"/>
          <w:sz w:val="18"/>
        </w:rPr>
        <w:t>Fink T et al.  ·  Eur J Heart Fail  ·  04.09.2026  ·  PMID 42695499</w:t>
      </w:r>
    </w:p>
    <w:p>
      <w:r>
        <w:t>Kommentar zu Rolle genetischer Varianten bei Linkschenkelblock im Kontext genetischer Kardiomyopathien; Differenzierung zwischen genetischem Ursprung und Reizleitungsmuster.</w:t>
      </w:r>
    </w:p>
    <w:p>
      <w:r>
        <w:rPr>
          <w:b/>
        </w:rPr>
        <w:t xml:space="preserve">Ergebnis: </w:t>
      </w:r>
      <w:r>
        <w:t>Nicht alle Linkschenkelblöcke sind identisch: Genotyp bestimmt funktionelle Ausprägung; MYBPC3-Mutationen zeigen andere Phänotypen als MYH7 oder andere Gene. Implikation für CRT-Indikation und therapeutische Ansätze.</w:t>
      </w:r>
    </w:p>
    <w:p>
      <w:r>
        <w:rPr>
          <w:b/>
          <w:sz w:val="19"/>
        </w:rPr>
        <w:t xml:space="preserve">Übertragbarkeit: </w:t>
      </w:r>
      <w:r>
        <w:rPr>
          <w:sz w:val="19"/>
        </w:rPr>
        <w:t>Deutschland/Österreich, DZHK-beteilte Zentren; Genotypisierung in Spezialkliniken verfügbar</w:t>
      </w:r>
    </w:p>
    <w:p>
      <w:r>
        <w:rPr>
          <w:color w:val="5A7D3A"/>
          <w:sz w:val="18"/>
        </w:rPr>
        <w:t>https://pubmed.ncbi.nlm.nih.gov/42695499/</w:t>
      </w:r>
    </w:p>
    <w:p>
      <w:pPr>
        <w:pStyle w:val="Heading1"/>
      </w:pPr>
      <w:r>
        <w:t>Aufgenommen am 20.09.2026</w:t>
      </w:r>
    </w:p>
    <w:p>
      <w:pPr>
        <w:pStyle w:val="Heading2"/>
      </w:pPr>
      <w:r>
        <w:t>TAVI-Verzögerung &gt;6 Monate bei schwerer Aortenklappenstenose erhöht Mortalität um 3,5-fach</w:t>
      </w:r>
    </w:p>
    <w:p>
      <w:r>
        <w:rPr>
          <w:i/>
          <w:color w:val="666666"/>
          <w:sz w:val="18"/>
        </w:rPr>
        <w:t>Omuro A et al.  ·  Open Heart  ·  18.09.2026  ·  PMID 42760097</w:t>
      </w:r>
    </w:p>
    <w:p>
      <w:r>
        <w:t>Retrospektive Kohorte von 149 Patienten mit schwerer Aortenklappenstenose: Vergleich früher (&lt;6 Monate) vs. verzögerter (&gt;6 Monate) TAVI auf klinische Ergebnisse.</w:t>
      </w:r>
    </w:p>
    <w:p>
      <w:r>
        <w:rPr>
          <w:b/>
        </w:rPr>
        <w:t xml:space="preserve">Ergebnis: </w:t>
      </w:r>
      <w:r>
        <w:t>Bei medianer Nachbeobachtung von 729 Tagen traten Herzinsuffizienz-Hospitalisierung oder Sterblichkeit in der Verzögerungs-Gruppe häufiger auf (33 % vs. 16 %, p=0,013). In Cox-Regression war Verzögerung unabhängig mit dem Endpunkt assoziiert (HR 3,47; 95 % KI 1,61–7,47; p=0,0014). Höhere Clinical Frailty Scale war auch prädiktiv (HR 1,62).</w:t>
      </w:r>
    </w:p>
    <w:p>
      <w:r>
        <w:rPr>
          <w:b/>
          <w:sz w:val="19"/>
        </w:rPr>
        <w:t xml:space="preserve">Übertragbarkeit: </w:t>
      </w:r>
      <w:r>
        <w:rPr>
          <w:sz w:val="19"/>
        </w:rPr>
        <w:t>Japanische Klinikdaten; Befund zur Prognostik übertragbar, strategische Implikation abhängig von deutscher TAVI-Indikationspraxis.</w:t>
      </w:r>
    </w:p>
    <w:p>
      <w:r>
        <w:rPr>
          <w:color w:val="5A7D3A"/>
          <w:sz w:val="18"/>
        </w:rPr>
        <w:t>https://pubmed.ncbi.nlm.nih.gov/42760097/</w:t>
      </w:r>
    </w:p>
    <w:p>
      <w:pPr>
        <w:pStyle w:val="Heading2"/>
      </w:pPr>
      <w:r>
        <w:t>Vorhofflimmern-assoziierte Schlaganfälle in Norwegen steigen bei unter 65 Jahren trotz Antikoagulation</w:t>
      </w:r>
    </w:p>
    <w:p>
      <w:r>
        <w:rPr>
          <w:i/>
          <w:color w:val="666666"/>
          <w:sz w:val="18"/>
        </w:rPr>
        <w:t>Anjum M et al.  ·  J Am Heart Assoc  ·  18.09.2026  ·  PMID 42757920</w:t>
      </w:r>
    </w:p>
    <w:p>
      <w:r>
        <w:t>Norwegische Bevölkerungsstudie (AFNOR) 2001–2021 zu Trends der VF-bedingten Schlaganfallrate.</w:t>
      </w:r>
    </w:p>
    <w:p>
      <w:r>
        <w:rPr>
          <w:b/>
        </w:rPr>
        <w:t xml:space="preserve">Ergebnis: </w:t>
      </w:r>
      <w:r>
        <w:t>66.795 (29,4 %) von 227.575 Schlaganfällen waren VF-assoziiert. Gesamtinzidenz VF-ischämischer Schlaganfälle stabil (67,8 pro 100.000 2001 vs. 68,4 pro 100.000 2021; IRR 1,01), aber Anstieg bei 15–64 Jahren. 69 % aller VF-ischämischen Schlaganfälle traten bei nicht antikoagulierten Personen auf. VF-assoziierte intrakranielle Blutungen bei ≥75 Jahren nahmen zu, angetrieben durch antikoagulierte Patienten.</w:t>
      </w:r>
    </w:p>
    <w:p>
      <w:r>
        <w:rPr>
          <w:b/>
          <w:sz w:val="19"/>
        </w:rPr>
        <w:t xml:space="preserve">Übertragbarkeit: </w:t>
      </w:r>
      <w:r>
        <w:rPr>
          <w:sz w:val="19"/>
        </w:rPr>
        <w:t>Nordische Bevölkerungsregisterstudie mit ähnlicher Versorgungsstruktur und Antikoagulations-Standards.</w:t>
      </w:r>
    </w:p>
    <w:p>
      <w:r>
        <w:rPr>
          <w:color w:val="5A7D3A"/>
          <w:sz w:val="18"/>
        </w:rPr>
        <w:t>https://pubmed.ncbi.nlm.nih.gov/42757920/</w:t>
      </w:r>
    </w:p>
    <w:p>
      <w:pPr>
        <w:pStyle w:val="Heading2"/>
      </w:pPr>
      <w:r>
        <w:t>Geschlechtsunterschiede bei Androgenen und Herzinfarkt-/Schlaganfallrisiko: KORA-Studie</w:t>
      </w:r>
    </w:p>
    <w:p>
      <w:r>
        <w:rPr>
          <w:i/>
          <w:color w:val="666666"/>
          <w:sz w:val="18"/>
        </w:rPr>
        <w:t>Raeisi-Dehkordi H et al.  ·  J Am Heart Assoc  ·  18.09.2026  ·  PMID 42757908</w:t>
      </w:r>
    </w:p>
    <w:p>
      <w:r>
        <w:t>Beobachtungsstudie an 1.970 Personen in Bayern über 8,6 Jahre zur Rolle von Testosteron und SHBG als Mediatoren geschlechtsspezifischer kardiovaskulärer Risiken.</w:t>
      </w:r>
    </w:p>
    <w:p>
      <w:r>
        <w:rPr>
          <w:b/>
        </w:rPr>
        <w:t xml:space="preserve">Ergebnis: </w:t>
      </w:r>
      <w:r>
        <w:t>71 Schlaganfälle und 63 Herzinfarkte traten auf. Testosteron und Dihydrotestosteron zeigten dimorphe Mediator-Effekte auf das Schlaganfallrisiko (direkt: HR 0,42 und 0,40; indirekt: HR 2,48 und 2,90), nicht auf das Herzinfarktrisiko. Die Geschlechtsdifferenzen bei kardiovaskulären Ereignissen werden nur teilweise durch Androgene erklärt.</w:t>
      </w:r>
    </w:p>
    <w:p>
      <w:r>
        <w:rPr>
          <w:b/>
          <w:sz w:val="19"/>
        </w:rPr>
        <w:t xml:space="preserve">Übertragbarkeit: </w:t>
      </w:r>
      <w:r>
        <w:rPr>
          <w:sz w:val="19"/>
        </w:rPr>
        <w:t>Deutsche Kohortendaten KORA mit Baseline-Messungen vergleichbar zu Versorgungsdaten.</w:t>
      </w:r>
    </w:p>
    <w:p>
      <w:r>
        <w:rPr>
          <w:color w:val="5A7D3A"/>
          <w:sz w:val="18"/>
        </w:rPr>
        <w:t>https://pubmed.ncbi.nlm.nih.gov/42757908/</w:t>
      </w:r>
    </w:p>
    <w:p>
      <w:pPr>
        <w:pStyle w:val="Heading2"/>
      </w:pPr>
      <w:r>
        <w:t>GLP-1-RA und SGLT2i mit kombinierter Therapie senken Sterblichkeit nach VF-Ablation auf 40 %</w:t>
      </w:r>
    </w:p>
    <w:p>
      <w:r>
        <w:rPr>
          <w:i/>
          <w:color w:val="666666"/>
          <w:sz w:val="18"/>
        </w:rPr>
        <w:t>Ramadan A et al.  ·  Heart Rhythm  ·  17.09.2026  ·  PMID 42753998</w:t>
      </w:r>
    </w:p>
    <w:p>
      <w:r>
        <w:t>TriNetX-Datenbank 2018–2024: Vergleich von Glukagon-ähnlichem Peptid-1-Rezeptoragonist (GLP-1 RA), SGLT2-Inhibitor (SGLT2i) und Kombinationstherapie auf VF-Rezidiv und kardiovaskuläre Ergebnisse nach Katheter-Ablation.</w:t>
      </w:r>
    </w:p>
    <w:p>
      <w:r>
        <w:rPr>
          <w:b/>
        </w:rPr>
        <w:t xml:space="preserve">Ergebnis: </w:t>
      </w:r>
      <w:r>
        <w:t>Bei 1.393 Patienten pro Gruppe war VF-Rezidiv ähnlich unter GLP-1 RA vs. SGLT2i (HR 1,01; p=0,86). Kombinationstherapie vs. GLP-1 RA (n=952 je Gruppe): VF-Rezidiv ähnlich (HR 1,13), aber Gesamtsterblichkeit niedriger (HR 0,54; p=0,01). Kombinationstherapie vs. SGLT2i (n=1.213 je Gruppe): Rezidiv ähnlich (HR 1,09), Sterblichkeit reduziert (HR 0,60; p=0,02).</w:t>
      </w:r>
    </w:p>
    <w:p>
      <w:r>
        <w:rPr>
          <w:b/>
          <w:sz w:val="19"/>
        </w:rPr>
        <w:t xml:space="preserve">Übertragbarkeit: </w:t>
      </w:r>
      <w:r>
        <w:rPr>
          <w:sz w:val="19"/>
        </w:rPr>
        <w:t>USA-Datenbank TriNetX; Medikationsmuster übertragbar für Deutschland, aber VF-Ablations-Strategien unterscheiden sich regional.</w:t>
      </w:r>
    </w:p>
    <w:p>
      <w:r>
        <w:rPr>
          <w:color w:val="5A7D3A"/>
          <w:sz w:val="18"/>
        </w:rPr>
        <w:t>https://pubmed.ncbi.nlm.nih.gov/42753998/</w:t>
      </w:r>
    </w:p>
    <w:p>
      <w:pPr>
        <w:pStyle w:val="Heading2"/>
      </w:pPr>
      <w:r>
        <w:t>Persistente CRP-Erhöhung erhöht Herzinsuffizienz-Inzidenz um 34 % bei erhöhtem kardiovaskulärem Risiko</w:t>
      </w:r>
    </w:p>
    <w:p>
      <w:r>
        <w:rPr>
          <w:i/>
          <w:color w:val="666666"/>
          <w:sz w:val="18"/>
        </w:rPr>
        <w:t>Busti M et al.  ·  Int J Cardiol  ·  16.09.2026  ·  PMID 42749086</w:t>
      </w:r>
    </w:p>
    <w:p>
      <w:r>
        <w:t>Multizentrische elektronische Gesundheitsakte-Studie mit 64.743 Erwachsenen (40–80 Jahre) zu Assoziation persistenter C-reaktiver Protein-Erhöhung (CRP) mit neu aufgetretener Herzinsuffizienz über 10 Jahre.</w:t>
      </w:r>
    </w:p>
    <w:p>
      <w:r>
        <w:rPr>
          <w:b/>
        </w:rPr>
        <w:t xml:space="preserve">Ergebnis: </w:t>
      </w:r>
      <w:r>
        <w:t>Erhöhtes CRP (3,1–10,0 mg/L vs. 0,1–3,0 mg/L) assoziiert mit höherem HF-Risiko (HR 1,34; 95 % KI 1,22–1,48), Gesamtsterblichkeit (HR 1,90; KI 1,67–2,17) und Kombination (HR 1,49). Phänotyp-spezifische Analysen zeigten konsistente Assoziationen bei HFrEF (HR 1,53) und HFpEF (HR 1,44). Stärkerer Effekt bei Nicht-Adipösen.</w:t>
      </w:r>
    </w:p>
    <w:p>
      <w:r>
        <w:rPr>
          <w:b/>
          <w:sz w:val="19"/>
        </w:rPr>
        <w:t xml:space="preserve">Übertragbarkeit: </w:t>
      </w:r>
      <w:r>
        <w:rPr>
          <w:sz w:val="19"/>
        </w:rPr>
        <w:t>TriNetX-Netzwerk, Amerika und internationale Standorte; Inflammations-Biomarker-Assoziationen konzeptionell übertragbar, aber US-Datenschutz-Standards unterschiedlich.</w:t>
      </w:r>
    </w:p>
    <w:p>
      <w:r>
        <w:rPr>
          <w:color w:val="5A7D3A"/>
          <w:sz w:val="18"/>
        </w:rPr>
        <w:t>https://pubmed.ncbi.nlm.nih.gov/42749086/</w:t>
      </w:r>
    </w:p>
    <w:p>
      <w:pPr>
        <w:pStyle w:val="Heading2"/>
      </w:pPr>
      <w:r>
        <w:t>Psychiatrische Störungen nach Trauma als Herz-Kreislauf-Risiko: dänische Registerstudie</w:t>
      </w:r>
    </w:p>
    <w:p>
      <w:r>
        <w:rPr>
          <w:i/>
          <w:color w:val="666666"/>
          <w:sz w:val="18"/>
        </w:rPr>
        <w:t>Sumner JA et al.  ·  J Am Heart Assoc  ·  15.09.2026  ·  PMID 42684053</w:t>
      </w:r>
    </w:p>
    <w:p>
      <w:r>
        <w:t>Populationsbasierte Fallkontroll-Studie zu psychischen Folgeerkrankungen nach Traumaexposition und Risiko für Major Adverse Cardiac and Cerebrovascular Events (MACCE).</w:t>
      </w:r>
    </w:p>
    <w:p>
      <w:r>
        <w:rPr>
          <w:b/>
        </w:rPr>
        <w:t xml:space="preserve">Ergebnis: </w:t>
      </w:r>
      <w:r>
        <w:t>Unter 43.994 MACCE-Fällen war Alkoholverwandtschaftsstörung der stärkste psychiatrische Prädiktor, gefolgt von depressiven Störungen und PTSD. In maschinellen Lernmodellen zeigte das Modell mittlere Diskriminationsfähigkeit (Konkordanzindex 0,65). Depressionen waren bei Frauen stärker assoziiert als bei Männern. Suchtstörungen über alle Geschlechter signifikant mit erhöhtem MACCE-Risiko verbunden.</w:t>
      </w:r>
    </w:p>
    <w:p>
      <w:r>
        <w:rPr>
          <w:b/>
          <w:sz w:val="19"/>
        </w:rPr>
        <w:t xml:space="preserve">Übertragbarkeit: </w:t>
      </w:r>
      <w:r>
        <w:rPr>
          <w:sz w:val="19"/>
        </w:rPr>
        <w:t>Dänisches Universalregister 1995–2021, ähnliches Gesundheitssystem wie Deutschland.</w:t>
      </w:r>
    </w:p>
    <w:p>
      <w:r>
        <w:rPr>
          <w:color w:val="5A7D3A"/>
          <w:sz w:val="18"/>
        </w:rPr>
        <w:t>https://pubmed.ncbi.nlm.nih.gov/42684053/</w:t>
      </w:r>
    </w:p>
    <w:p>
      <w:pPr>
        <w:pStyle w:val="Heading1"/>
      </w:pPr>
      <w:r>
        <w:t>Aufgenommen am 19.09.2026</w:t>
      </w:r>
    </w:p>
    <w:p>
      <w:pPr>
        <w:pStyle w:val="Heading2"/>
      </w:pPr>
      <w:r>
        <w:t>Epicardiales Fett bei Vorhofflimmern: Biomarker für Rezidivrisiko</w:t>
      </w:r>
    </w:p>
    <w:p>
      <w:r>
        <w:rPr>
          <w:i/>
          <w:color w:val="666666"/>
          <w:sz w:val="18"/>
        </w:rPr>
        <w:t>Erhard N et al.  ·  Heart Rhythm  ·  18.09.2026  ·  PMID 42759859</w:t>
      </w:r>
    </w:p>
    <w:p>
      <w:r>
        <w:t>Die Studie quantifizierte mit Photon-Counting-CT das epikardiale Fettgewebe beider Vorhöfe vor Ablation bei 210 Patienten mit paroxysmaler und persistierender AF und verfolgte die Arrhythmie-Freiheit nach 12 Monaten.</w:t>
      </w:r>
    </w:p>
    <w:p>
      <w:r>
        <w:rPr>
          <w:b/>
        </w:rPr>
        <w:t xml:space="preserve">Ergebnis: </w:t>
      </w:r>
      <w:r>
        <w:t>Im linken Vorhof korrelierte ein höheres epikardiales Fettvolumen mit Rezidiven bei persistierender AF (HR 1,51 pro 10 mL Zunahme; 95%-KI 1,06–2,15), nicht jedoch bei paroxysmaler AF (HR 0,79; p für Interaktion = 0,014). Die Arrhythmie-Freiheit betrug 81,9 % bei paroxysmaler und 57,3 % bei persistierender AF (p = 0,005). Diese Biomarker-Stratifikation könnte zukünftig die Patientenauswahl und Nachsorge lenken.</w:t>
      </w:r>
    </w:p>
    <w:p>
      <w:r>
        <w:rPr>
          <w:b/>
          <w:sz w:val="19"/>
        </w:rPr>
        <w:t xml:space="preserve">Übertragbarkeit: </w:t>
      </w:r>
      <w:r>
        <w:rPr>
          <w:sz w:val="19"/>
        </w:rPr>
        <w:t>Deutsches Zentrum für Herz-Kreislauf-Forschung, prospektive klinische Studie mit standardisierter CT-Bildgebung</w:t>
      </w:r>
    </w:p>
    <w:p>
      <w:r>
        <w:rPr>
          <w:color w:val="5A7D3A"/>
          <w:sz w:val="18"/>
        </w:rPr>
        <w:t>https://pubmed.ncbi.nlm.nih.gov/42759859/</w:t>
      </w:r>
    </w:p>
    <w:p>
      <w:pPr>
        <w:pStyle w:val="Heading2"/>
      </w:pPr>
      <w:r>
        <w:t>Neutrophil-Lymphozyten-Verhältnis bei Herzinsuffizienz: SGLT2-Hemmer wirken unabhängig davon</w:t>
      </w:r>
    </w:p>
    <w:p>
      <w:r>
        <w:rPr>
          <w:i/>
          <w:color w:val="666666"/>
          <w:sz w:val="18"/>
        </w:rPr>
        <w:t>Pellicori P et al.  ·  ESC Heart Fail  ·  18.09.2026  ·  PMID 42759496</w:t>
      </w:r>
    </w:p>
    <w:p>
      <w:r>
        <w:t>Post-hoc-Analyse der EMPEROR-Pooled-Datenbank (9.706 Patienten mit CHF) untersuchte das Neutrophil-Lymphozyten-Verhältnis (NLR) als Marker für Inflammation und Stauung und die Effektivität von Empagliflozin nach Quintilen.</w:t>
      </w:r>
    </w:p>
    <w:p>
      <w:r>
        <w:rPr>
          <w:b/>
        </w:rPr>
        <w:t xml:space="preserve">Ergebnis: </w:t>
      </w:r>
      <w:r>
        <w:t>Höchstes NLR-Quintil (vs. niedrigstes) zeigte 27,3 % vs. 14,9 % Primärereignisse (HF-Hospitalisierung oder kardiovaskulärer Tod; adjustierte HR 1,44; 95%-KI 1,16–1,80; p = 0,001). Empagliflozin reduzierte die Primärendpunkte konsistent über alle NLR-Gruppen hinweg, und der Wirkmechanismus war vom NLR-Ausgangswert unabhängig.</w:t>
      </w:r>
    </w:p>
    <w:p>
      <w:r>
        <w:rPr>
          <w:b/>
          <w:sz w:val="19"/>
        </w:rPr>
        <w:t xml:space="preserve">Übertragbarkeit: </w:t>
      </w:r>
      <w:r>
        <w:rPr>
          <w:sz w:val="19"/>
        </w:rPr>
        <w:t>Multinationale Studie, europäische SGLT2i-Leitlinien-Therapie, stratifizierte Effektivität relevant</w:t>
      </w:r>
    </w:p>
    <w:p>
      <w:r>
        <w:rPr>
          <w:color w:val="5A7D3A"/>
          <w:sz w:val="18"/>
        </w:rPr>
        <w:t>https://pubmed.ncbi.nlm.nih.gov/42759496/</w:t>
      </w:r>
    </w:p>
    <w:p>
      <w:pPr>
        <w:pStyle w:val="Heading2"/>
      </w:pPr>
      <w:r>
        <w:t>Frührhythmuskontrollen bei Vorhofflimmern und Krebsgeschichte: EAST-AFNET-4-Subgruppe</w:t>
      </w:r>
    </w:p>
    <w:p>
      <w:r>
        <w:rPr>
          <w:i/>
          <w:color w:val="666666"/>
          <w:sz w:val="18"/>
        </w:rPr>
        <w:t>Ismaili D et al.  ·  Europace  ·  18.09.2026  ·  PMID 42758310</w:t>
      </w:r>
    </w:p>
    <w:p>
      <w:r>
        <w:t>Sekundäranalyse der EAST-AFNET-4-Studie verglich 216 Patienten mit Krebsgeschichte (7,8 %) gegen 2.563 ohne Krebs bezüglich Nutzen und Sicherheit einer frühen Rhythmuskontrolle.</w:t>
      </w:r>
    </w:p>
    <w:p>
      <w:r>
        <w:rPr>
          <w:b/>
        </w:rPr>
        <w:t xml:space="preserve">Ergebnis: </w:t>
      </w:r>
      <w:r>
        <w:t>Frühe Rhythmuskontrolle reduzierte die Primärendpunkte (kardiovaskulärer Tod, Schlaganfall, HF- oder Herzinfarkt-Hospitalisierung) unabhängig von Krebsgeschichte (p Interaktion = 0,23), mit 84,9 % vs. 81,8 % Sinusrhythmus nach 24 Monaten. Ein Signal für mehr Sicherheitsereignisse unter Rhythmuskontrolle bei Krebspatienten (31 % vs. 20 %; p Interaktion = 0,055) warnt vor zusätzlichen Schäden in dieser Subgruppe.</w:t>
      </w:r>
    </w:p>
    <w:p>
      <w:r>
        <w:rPr>
          <w:b/>
          <w:sz w:val="19"/>
        </w:rPr>
        <w:t xml:space="preserve">Übertragbarkeit: </w:t>
      </w:r>
      <w:r>
        <w:rPr>
          <w:sz w:val="19"/>
        </w:rPr>
        <w:t>EAST-AFNET-4: multinationales europäisches Netzwerk, deutsche Leitzentren, richtlinienstabilisierend</w:t>
      </w:r>
    </w:p>
    <w:p>
      <w:r>
        <w:rPr>
          <w:color w:val="5A7D3A"/>
          <w:sz w:val="18"/>
        </w:rPr>
        <w:t>https://pubmed.ncbi.nlm.nih.gov/42758310/</w:t>
      </w:r>
    </w:p>
    <w:p>
      <w:pPr>
        <w:pStyle w:val="Heading2"/>
      </w:pPr>
      <w:r>
        <w:t>Vorhofflimmern-Screening: Intensiveres Monitoring findet mehr Fälle, besonders bei älteren Patienten</w:t>
      </w:r>
    </w:p>
    <w:p>
      <w:r>
        <w:rPr>
          <w:i/>
          <w:color w:val="666666"/>
          <w:sz w:val="18"/>
        </w:rPr>
        <w:t>Xing LY et al.  ·  Europace  ·  18.09.2026  ·  PMID 42758309</w:t>
      </w:r>
    </w:p>
    <w:p>
      <w:r>
        <w:t>Individual-Participant-Data-Metaanalyse von 34.165 gescreenten Personen (AFFECT-EU/AF-SCREEN) verglich die Detektionsquote nach Screening-Methode und Patientenmerkmalen.</w:t>
      </w:r>
    </w:p>
    <w:p>
      <w:r>
        <w:rPr>
          <w:b/>
        </w:rPr>
        <w:t xml:space="preserve">Ergebnis: </w:t>
      </w:r>
      <w:r>
        <w:t>Die Diagnose-Quote stieg mit Screening-Intensität: Einzelnes Zeitfenster 0,83 %, intermittierendes Monitoring 5,06 %, kurzfristiges Monitoring ≤30 Tage 4,81 %, langfristiges &gt;30 Tage 30,39 %. Hohes Alter, männliches Geschlecht, Hypertonie und Herzinsuffizienz waren unabhängig mit AF-Detektion assoziiert; diese Faktoren beeinflussten das Screening-Ergebnis am meisten bei Einzelzeitpunkt-Screening.</w:t>
      </w:r>
    </w:p>
    <w:p>
      <w:r>
        <w:rPr>
          <w:b/>
          <w:sz w:val="19"/>
        </w:rPr>
        <w:t xml:space="preserve">Übertragbarkeit: </w:t>
      </w:r>
      <w:r>
        <w:rPr>
          <w:sz w:val="19"/>
        </w:rPr>
        <w:t>Europäische und nordamerikanische Kohorten, vergleichbar mit deutschen Screening-Programmen</w:t>
      </w:r>
    </w:p>
    <w:p>
      <w:r>
        <w:rPr>
          <w:color w:val="5A7D3A"/>
          <w:sz w:val="18"/>
        </w:rPr>
        <w:t>https://pubmed.ncbi.nlm.nih.gov/42758309/</w:t>
      </w:r>
    </w:p>
    <w:p>
      <w:pPr>
        <w:pStyle w:val="Heading2"/>
      </w:pPr>
      <w:r>
        <w:t>Herzinsuffizienz-Hospitalisierung: Mortalität 30 Tage relativ stabil, aber Ungleichheiten wachsen</w:t>
      </w:r>
    </w:p>
    <w:p>
      <w:r>
        <w:rPr>
          <w:i/>
          <w:color w:val="666666"/>
          <w:sz w:val="18"/>
        </w:rPr>
        <w:t>Usman MS et al.  ·  JACC Heart Fail  ·  16.09.2026  ·  PMID 42758064</w:t>
      </w:r>
    </w:p>
    <w:p>
      <w:r>
        <w:t>Retrospektive Kohortenstudie (Medicare 2016–2022, 4.957.054 HF-Hospitalisierungen) analysierte Trends in 30-Tages-Mortalität, Wiederaufnahme und Tage zu Hause (alive and out-of-facility).</w:t>
      </w:r>
    </w:p>
    <w:p>
      <w:r>
        <w:rPr>
          <w:b/>
        </w:rPr>
        <w:t xml:space="preserve">Ergebnis: </w:t>
      </w:r>
      <w:r>
        <w:t>30-Tages-Mortalität sank vor der Pandemie (9,01 % auf 8,38 %), stieg 2020 (9,13 %) und fiel wieder 2022 (8,49 %). Männer hatten höhere Mortalität als Frauen; Weiße höher als Schwarze. Medicare-FFS-Beneficiäre hatten konsistent höhere Mortalität als Medicare Advantage (Lücke wuchs über Zeit). Wiederaufnahmequoten sanken prä-pandemisch, platauten 2020 und sanken wieder post-pandemisch (aRR 2022 vs. 2020: 0,96).</w:t>
      </w:r>
    </w:p>
    <w:p>
      <w:r>
        <w:rPr>
          <w:b/>
          <w:sz w:val="19"/>
        </w:rPr>
        <w:t xml:space="preserve">Übertragbarkeit: </w:t>
      </w:r>
      <w:r>
        <w:rPr>
          <w:sz w:val="19"/>
        </w:rPr>
        <w:t>USA-Medicare-System, nicht 1:1 übertragbar; aber Versorgungsungleichheiten relevant für deutsche DMP-Strukturen</w:t>
      </w:r>
    </w:p>
    <w:p>
      <w:r>
        <w:rPr>
          <w:color w:val="5A7D3A"/>
          <w:sz w:val="18"/>
        </w:rPr>
        <w:t>https://pubmed.ncbi.nlm.nih.gov/42758064/</w:t>
      </w:r>
    </w:p>
    <w:p>
      <w:pPr>
        <w:pStyle w:val="Heading2"/>
      </w:pPr>
      <w:r>
        <w:t>Chronische Herzinsuffizienz und LVAD: beeinträchtigte Hirnfunktion und neuronal-ischämische Marker</w:t>
      </w:r>
    </w:p>
    <w:p>
      <w:r>
        <w:rPr>
          <w:i/>
          <w:color w:val="666666"/>
          <w:sz w:val="18"/>
        </w:rPr>
        <w:t>Jungclaus MS et al.  ·  J Am Heart Assoc  ·  18.09.2026  ·  PMID 42757935</w:t>
      </w:r>
    </w:p>
    <w:p>
      <w:r>
        <w:t>Querschnittsstudie an 19 LVAD- und 13 Patienten mit fortgeschrittener CHF verglich kognitive Leistung, blutbasierte Neuronen-Biomarker (NfL, pTau181, GFAP) und Gehirn-PET-Metabolismus.</w:t>
      </w:r>
    </w:p>
    <w:p>
      <w:r>
        <w:rPr>
          <w:b/>
        </w:rPr>
        <w:t xml:space="preserve">Ergebnis: </w:t>
      </w:r>
      <w:r>
        <w:t>69 % aller Patienten zeigten kognitive Dysfunktion; Biomarker waren in beiden Gruppen erhöht (medianes NfL 45,7 pg/mL, pTau181 23,1 pg/mL, GFAP 191,3 pg/mL). LVAD-Patienten wiesen mehr Hypometabolismus-Volumen auf (1,03 mL vs. 0 mL bei CHF; p = 0,003). Dieser Multi-Modal-Befund deutet auf potenziell reversible zerebrovaskuläre Komplikationen hin, die bei LVAD-Patienten zu monitoren sind.</w:t>
      </w:r>
    </w:p>
    <w:p>
      <w:r>
        <w:rPr>
          <w:b/>
          <w:sz w:val="19"/>
        </w:rPr>
        <w:t xml:space="preserve">Übertragbarkeit: </w:t>
      </w:r>
      <w:r>
        <w:rPr>
          <w:sz w:val="19"/>
        </w:rPr>
        <w:t>Deutsche Spezialkliniken erfassen ähnliche Komplikationen, Grundlage für strukturierte Überwachung</w:t>
      </w:r>
    </w:p>
    <w:p>
      <w:r>
        <w:rPr>
          <w:color w:val="5A7D3A"/>
          <w:sz w:val="18"/>
        </w:rPr>
        <w:t>https://pubmed.ncbi.nlm.nih.gov/42757935/</w:t>
      </w:r>
    </w:p>
    <w:p>
      <w:pPr>
        <w:pStyle w:val="Heading1"/>
      </w:pPr>
      <w:r>
        <w:t>Aufgenommen am 18.09.2026</w:t>
      </w:r>
    </w:p>
    <w:p>
      <w:pPr>
        <w:pStyle w:val="Heading2"/>
      </w:pPr>
      <w:r>
        <w:t>Linksatriale Dehnung zeigt NT-proBNP-Belastung bei fettleibigen HFpEF-Patienten an</w:t>
      </w:r>
    </w:p>
    <w:p>
      <w:r>
        <w:rPr>
          <w:i/>
          <w:color w:val="666666"/>
          <w:sz w:val="18"/>
        </w:rPr>
        <w:t>Mandoli GE et al.  ·  Int J Cardiol  ·  17.09.2026  ·  PMID 42754101</w:t>
      </w:r>
    </w:p>
    <w:p>
      <w:r>
        <w:t>Einzenter-Retrospektivstudie mit 118 adipösen Patienten (BMI ≥ 30 kg/m²) mit HFpEF untersuchte, ob globales Peak Atrial Longitudinal Strain (PALS) mit NT-proBNP und 6-Minuten-Gehtest assoziiert ist.</w:t>
      </w:r>
    </w:p>
    <w:p>
      <w:r>
        <w:rPr>
          <w:b/>
        </w:rPr>
        <w:t xml:space="preserve">Ergebnis: </w:t>
      </w:r>
      <w:r>
        <w:t>Medianes globales PALS war 23,0 % [17,3-30,8], E/e'-Ratio 10 [8-13]. Globales PALS war unabhängig und invers mit ln(NT-proBNP) assoziiert (β = -0,045; 95%-KI -0,070 bis -0,019; p &lt; 0,001). Atriale Steifheit war unabhängig mit ln(NT-proBNP) (β = 0,27; p = 0,014) und 6MWT (β = -9,3; p = 0,046) assoziiert. LA-Dehnung und Steifheit liefern komplementäre Informationen zur hämodynamischen Last bei adipösen HFpEF-Patienten.</w:t>
      </w:r>
    </w:p>
    <w:p>
      <w:r>
        <w:rPr>
          <w:b/>
          <w:sz w:val="19"/>
        </w:rPr>
        <w:t xml:space="preserve">Übertragbarkeit: </w:t>
      </w:r>
      <w:r>
        <w:rPr>
          <w:sz w:val="19"/>
        </w:rPr>
        <w:t>Italienische Universitätsklinik, Echokardiographie-Parameter für HFpEF-Phenotypisierung in Deutschland etabliert.</w:t>
      </w:r>
    </w:p>
    <w:p>
      <w:r>
        <w:rPr>
          <w:color w:val="5A7D3A"/>
          <w:sz w:val="18"/>
        </w:rPr>
        <w:t>https://pubmed.ncbi.nlm.nih.gov/42754101/</w:t>
      </w:r>
    </w:p>
    <w:p>
      <w:pPr>
        <w:pStyle w:val="Heading2"/>
      </w:pPr>
      <w:r>
        <w:t>RAISE-Score validiert Transthyretin-Amyloidose bei schwerer Aortenstenose im Katheterlabor nur mäßig</w:t>
      </w:r>
    </w:p>
    <w:p>
      <w:r>
        <w:rPr>
          <w:i/>
          <w:color w:val="666666"/>
          <w:sz w:val="18"/>
        </w:rPr>
        <w:t>Guerra ÁR et al.  ·  Int J Cardiol  ·  17.09.2026  ·  PMID 42754100</w:t>
      </w:r>
    </w:p>
    <w:p>
      <w:r>
        <w:t>Prospektive externe Validierung des RAISE-Scores zur Diagnose transthyretin-assoziierter kardialer Amyloidose (ATTR-CA) bei 340 Patienten mit schwerer AS zur TAVI.</w:t>
      </w:r>
    </w:p>
    <w:p>
      <w:r>
        <w:rPr>
          <w:b/>
        </w:rPr>
        <w:t xml:space="preserve">Ergebnis: </w:t>
      </w:r>
      <w:r>
        <w:t>ATTR-CA lag bei 4,1 % (14 Fälle) vor. ATTR-CA-Patienten waren älter (83,5 ± 6,7 vs. 79,1 ± 6,1 Jahre), zeigten mehr Pseudo-Infarkt-Muster (50 % vs. 10,3 %), niedrigere LVEF (50,1 ± 16,1 % vs. 62,4 ± 14,1 %) und schlechtere globale longitudinale Dehnung (-11,4 ± 5,8 vs. -18,3 ± 5,2). RAISE-Score ≥ 2 assoziierte mit höherer ATTR-CA-Prävalenz (7,2 % vs. 2,3 %; p = 0,044); AUC war 0,69 (p = 0,016). Der Score zeigt moderate Diskriminationsfähigkeit, deutlich niedriger als ursprünglich berichtet.</w:t>
      </w:r>
    </w:p>
    <w:p>
      <w:r>
        <w:rPr>
          <w:b/>
          <w:sz w:val="19"/>
        </w:rPr>
        <w:t xml:space="preserve">Übertragbarkeit: </w:t>
      </w:r>
      <w:r>
        <w:rPr>
          <w:sz w:val="19"/>
        </w:rPr>
        <w:t>Spanische prospektive Validierungsstudie, Erkenntnisse zum ATTR-CA-Screening bei AS in Europa relevant.</w:t>
      </w:r>
    </w:p>
    <w:p>
      <w:r>
        <w:rPr>
          <w:color w:val="5A7D3A"/>
          <w:sz w:val="18"/>
        </w:rPr>
        <w:t>https://pubmed.ncbi.nlm.nih.gov/42754100/</w:t>
      </w:r>
    </w:p>
    <w:p>
      <w:pPr>
        <w:pStyle w:val="Heading2"/>
      </w:pPr>
      <w:r>
        <w:t>Enge Kopplungsintervalle in ventrikulären Salven präsagen plötzlichen Herztod bei Hypertrophischer Kardiomyopathie</w:t>
      </w:r>
    </w:p>
    <w:p>
      <w:r>
        <w:rPr>
          <w:i/>
          <w:color w:val="666666"/>
          <w:sz w:val="18"/>
        </w:rPr>
        <w:t>Zhang Y et al.  ·  Europace  ·  02.09.2026  ·  PMID 42749293</w:t>
      </w:r>
    </w:p>
    <w:p>
      <w:r>
        <w:t>Retrospektive Multizenterstudie mit 2.625 HCM-Patienten untersuchte, ob Charakteristika von nicht-anhaltenden ventrikulären Tachykardien (NSVT) das Plötzlichen-Tod-Risiko stratifizieren.</w:t>
      </w:r>
    </w:p>
    <w:p>
      <w:r>
        <w:rPr>
          <w:b/>
        </w:rPr>
        <w:t xml:space="preserve">Ergebnis: </w:t>
      </w:r>
      <w:r>
        <w:t>In 320 Patienten (12,4 %) traten NSVT auf. Das zweite Kopplungsintervall war stärkster Prädiktor (optimaler Cut-off 394 ms). Ein Intervall &lt; 394 ms erhöhte das SCD-Risiko stark (HR 8,36; 95%-KI 4,33-16,12; p &lt; 0,001) gegenüber Abwesenheit von NSVT, während ≥ 394 ms nicht prognostisch war. Differenzierte NSVT-Analyse verbesserte SCD-Risikoalgorithmen und könnte ICD-Implantation-Entscheidungen optimieren.</w:t>
      </w:r>
    </w:p>
    <w:p>
      <w:r>
        <w:rPr>
          <w:b/>
          <w:sz w:val="19"/>
        </w:rPr>
        <w:t xml:space="preserve">Übertragbarkeit: </w:t>
      </w:r>
      <w:r>
        <w:rPr>
          <w:sz w:val="19"/>
        </w:rPr>
        <w:t>Chinesische Multizenterstudie, etablierte Erkenntnisse zur HCM-Risikostratifizierung bestätigt.</w:t>
      </w:r>
    </w:p>
    <w:p>
      <w:r>
        <w:rPr>
          <w:color w:val="5A7D3A"/>
          <w:sz w:val="18"/>
        </w:rPr>
        <w:t>https://pubmed.ncbi.nlm.nih.gov/42749293/</w:t>
      </w:r>
    </w:p>
    <w:p>
      <w:pPr>
        <w:pStyle w:val="Heading2"/>
      </w:pPr>
      <w:r>
        <w:t>Nodales Hub-Spoke-System reduziert Kardiogener-Schock-Mortalität durch Zentralisierung und Versorgungskoordination</w:t>
      </w:r>
    </w:p>
    <w:p>
      <w:r>
        <w:rPr>
          <w:i/>
          <w:color w:val="666666"/>
          <w:sz w:val="18"/>
        </w:rPr>
        <w:t>Samsky MD et al.  ·  Circ Heart Fail  ·  15.09.2026  ·  PMID 42743341</w:t>
      </w:r>
    </w:p>
    <w:p>
      <w:r>
        <w:t>Ein Expertenkonsensus-Artikel der American Heart Association fordert ein knotenpunktbasiertes regionales Versorgungssystem für kardiogenen Schock mit gestaffelten Hospitalsebenen, standardisierten Protokollen und strukturierter Verlegung.</w:t>
      </w:r>
    </w:p>
    <w:p>
      <w:r>
        <w:rPr>
          <w:b/>
        </w:rPr>
        <w:t xml:space="preserve">Ergebnis: </w:t>
      </w:r>
      <w:r>
        <w:t>Beobachtungsdaten deuten auf Assoziation zwischen strukturierter multidisziplinärer Versorgung, regionalen Netzwerken und konsistenterer Leistungserbringung hin; randomisierte Kausalbeweise fehlen noch. Ein für alle Ursachen und Schweregrade ausgelegtes nationales Registersystem wird empfohlen. Das System sollte Transport nach Schock-Phänotyp und Zielstrategie steuern, nicht nach Geografie; Erfolg sollte Timing, Outcomes und Chancengleichheit umfassen.</w:t>
      </w:r>
    </w:p>
    <w:p>
      <w:r>
        <w:rPr>
          <w:b/>
          <w:sz w:val="19"/>
        </w:rPr>
        <w:t xml:space="preserve">Übertragbarkeit: </w:t>
      </w:r>
      <w:r>
        <w:rPr>
          <w:sz w:val="19"/>
        </w:rPr>
        <w:t>USA-Konsensus für kardiale Versorgungsstrukturierung; Konzept der Zentralisierung und Netzwerkbildung auf deutsches DRG-System mit Herzzentren übertragbar.</w:t>
      </w:r>
    </w:p>
    <w:p>
      <w:r>
        <w:rPr>
          <w:color w:val="5A7D3A"/>
          <w:sz w:val="18"/>
        </w:rPr>
        <w:t>https://pubmed.ncbi.nlm.nih.gov/42743341/</w:t>
      </w:r>
    </w:p>
    <w:p>
      <w:pPr>
        <w:pStyle w:val="Heading2"/>
      </w:pPr>
      <w:r>
        <w:t>Diabetes erhöht Reinfarkt- und kardiales Scheitern nach PCI, OCT hilft nicht</w:t>
      </w:r>
    </w:p>
    <w:p>
      <w:r>
        <w:rPr>
          <w:i/>
          <w:color w:val="666666"/>
          <w:sz w:val="18"/>
        </w:rPr>
        <w:t>Gaede L et al.  ·  JACC Cardiovasc Interv  ·  14.09.2026  ·  PMID 42735969</w:t>
      </w:r>
    </w:p>
    <w:p>
      <w:r>
        <w:t>Die ILUMIEN-IV-Studie untersuchte, ob optische Kohärenztomographie (OCT) gegenüber Angiographie die Outcome-Raten bei 2.487 PCI-Patienten mit und ohne Diabetes über 2 Jahre verbessert.</w:t>
      </w:r>
    </w:p>
    <w:p>
      <w:r>
        <w:rPr>
          <w:b/>
        </w:rPr>
        <w:t xml:space="preserve">Ergebnis: </w:t>
      </w:r>
      <w:r>
        <w:t>Patienten mit Diabetes hatten höhere Target-Vessel-Failure-Raten (9,9 % vs. 6,3 %; adjustierte HR 1,48; p = 0,01) und schwerwiegende MACE (5,3 % vs. 2,7 %; adjustierte HR 1,77; p = 0,01) als Nicht-Diabetiker; OCT-Führung reduzierte weder TVF noch MACE in beiden Gruppen (p = 0,41 bzw. 0,20). Diabetes bleibt ein starker Prädiktor für Komplikationen nach PCI, unabhängig von Bildgebungstechnik.</w:t>
      </w:r>
    </w:p>
    <w:p>
      <w:r>
        <w:rPr>
          <w:b/>
          <w:sz w:val="19"/>
        </w:rPr>
        <w:t xml:space="preserve">Übertragbarkeit: </w:t>
      </w:r>
      <w:r>
        <w:rPr>
          <w:sz w:val="19"/>
        </w:rPr>
        <w:t>Multizentrische Studie mit europäischen Zentren, Ergebnisse auf DMP-KHK-Patienten übertragbar.</w:t>
      </w:r>
    </w:p>
    <w:p>
      <w:r>
        <w:rPr>
          <w:color w:val="5A7D3A"/>
          <w:sz w:val="18"/>
        </w:rPr>
        <w:t>https://pubmed.ncbi.nlm.nih.gov/42735969/</w:t>
      </w:r>
    </w:p>
    <w:p>
      <w:pPr>
        <w:pStyle w:val="Heading2"/>
      </w:pPr>
      <w:r>
        <w:t>Hochsensitives Troponin T übertrifft NT-proBNP bei Prädiktion der Sterblichkeit nach nicht-kardialem Eingriff</w:t>
      </w:r>
    </w:p>
    <w:p>
      <w:r>
        <w:rPr>
          <w:i/>
          <w:color w:val="666666"/>
          <w:sz w:val="18"/>
        </w:rPr>
        <w:t>Kirkopoulos A et al.  ·  J Am Heart Assoc  ·  15.09.2026  ·  PMID 42714475</w:t>
      </w:r>
    </w:p>
    <w:p>
      <w:r>
        <w:t>Sekundäranalyse der METREPAIR- und MINSS-Studien verglich die Vorhersageleistung von Hochsensitiv-Troponin T (hs-TnT) und NT-proBNP für 30-Tage-MACE und Mortalität nach Elektiveingriff ohne Herzerkrankung bei 2.251 Hochrisikopatienten.</w:t>
      </w:r>
    </w:p>
    <w:p>
      <w:r>
        <w:rPr>
          <w:b/>
        </w:rPr>
        <w:t xml:space="preserve">Ergebnis: </w:t>
      </w:r>
      <w:r>
        <w:t>MACE trat bei 5,8 % und Mortalität bei 1,6 % auf. Nur hs-TnT verbesserte die Diskrimination für Mortalität (AUC 0,680 vs. 0,674; Δ = 0,006; p = 0,047); praktischer Nutzen beider Biomarker über RCRI und Alter war limitiert. hs-TnT war NT-proBNP marginal überlegen.</w:t>
      </w:r>
    </w:p>
    <w:p>
      <w:r>
        <w:rPr>
          <w:b/>
          <w:sz w:val="19"/>
        </w:rPr>
        <w:t xml:space="preserve">Übertragbarkeit: </w:t>
      </w:r>
      <w:r>
        <w:rPr>
          <w:sz w:val="19"/>
        </w:rPr>
        <w:t>Europäische prospektive Multizenterstudie (Schweiz, Niederlande, Skandinavien), direkt auf deutsches Perioperativ-Management übertragbar.</w:t>
      </w:r>
    </w:p>
    <w:p>
      <w:r>
        <w:rPr>
          <w:color w:val="5A7D3A"/>
          <w:sz w:val="18"/>
        </w:rPr>
        <w:t>https://pubmed.ncbi.nlm.nih.gov/42714475/</w:t>
      </w:r>
    </w:p>
    <w:p>
      <w:pPr>
        <w:pStyle w:val="Heading1"/>
      </w:pPr>
      <w:r>
        <w:t>Aufgenommen am 17.09.2026</w:t>
      </w:r>
    </w:p>
    <w:p>
      <w:pPr>
        <w:pStyle w:val="Heading2"/>
      </w:pPr>
      <w:r>
        <w:t>Geh-Tempo ist stärkster Marker für Prognose nach Herzinfarkt in kardialer Rehabilitation älterer Patienten</w:t>
      </w:r>
    </w:p>
    <w:p>
      <w:r>
        <w:rPr>
          <w:i/>
          <w:color w:val="666666"/>
          <w:sz w:val="18"/>
        </w:rPr>
        <w:t>Raisi A et al.  ·  Eur J Prev Cardiol  ·  16.09.2026  ·  PMID 42748164</w:t>
      </w:r>
    </w:p>
    <w:p>
      <w:r>
        <w:t>Prespecified Subanalyse der PIpELINe-Studie an 512 Patienten ≥65 Jahre mit Herzinfarkt (mittlerer SPPB-Score 4–9): Multidomain-Rehabilitation versus Standardversorgung mit 1-Jahres-Nachsorge.</w:t>
      </w:r>
    </w:p>
    <w:p>
      <w:r>
        <w:rPr>
          <w:b/>
        </w:rPr>
        <w:t xml:space="preserve">Ergebnis: </w:t>
      </w:r>
      <w:r>
        <w:t>Primärer Endpunkt (kardiovaskulärer Tod/ungeplante kardiovaskuläre Hospitalisierung) bei niedrigerem SPPB signifikant häufiger (HR 0,51; 95%-KI 0,32–0,82). Gehgeschwindigkeit einzeln war stärkster Marker: 50 % Risikoreduktion pro 1-Punkt-Verbesserung (HR 0,50; 95%-KI 0,37–0,68; p&lt;0,001). Multidomain-Rehabilitation zeigte konsistenten Nutzen unabhängig von SPPB-Level.</w:t>
      </w:r>
    </w:p>
    <w:p>
      <w:r>
        <w:rPr>
          <w:b/>
          <w:sz w:val="19"/>
        </w:rPr>
        <w:t xml:space="preserve">Übertragbarkeit: </w:t>
      </w:r>
      <w:r>
        <w:rPr>
          <w:sz w:val="19"/>
        </w:rPr>
        <w:t>Italienisch-deutsche Versorgungsstudie; einfaches Screening-Tool für Rehabilitation in Deutschland anwendbar.</w:t>
      </w:r>
    </w:p>
    <w:p>
      <w:r>
        <w:rPr>
          <w:color w:val="5A7D3A"/>
          <w:sz w:val="18"/>
        </w:rPr>
        <w:t>https://pubmed.ncbi.nlm.nih.gov/42748164/</w:t>
      </w:r>
    </w:p>
    <w:p>
      <w:pPr>
        <w:pStyle w:val="Heading2"/>
      </w:pPr>
      <w:r>
        <w:t>NT-proBNP und LVEDP in HFpEF häufig diskordant; Mortalitätsrisiko erhöht nur bei Elevation beider Parameter</w:t>
      </w:r>
    </w:p>
    <w:p>
      <w:r>
        <w:rPr>
          <w:i/>
          <w:color w:val="666666"/>
          <w:sz w:val="18"/>
        </w:rPr>
        <w:t>Güder G et al.  ·  Heart  ·  15.09.2026  ·  PMID 42744605</w:t>
      </w:r>
    </w:p>
    <w:p>
      <w:r>
        <w:t>Prospektive Kohortenstudie an 514 Patienten mit vermuteter HFpEF: Blutentnahme auf NT-proBNP und invasive Messung des linksventrikulären enddiastolischen Drucks erfolgte bei Herzkatheteruntersuchung gleichzeitig.</w:t>
      </w:r>
    </w:p>
    <w:p>
      <w:r>
        <w:rPr>
          <w:b/>
        </w:rPr>
        <w:t xml:space="preserve">Ergebnis: </w:t>
      </w:r>
      <w:r>
        <w:t>Diskordanz zwischen NT-proBNP und LVEDP war häufig (42 %). Adjustierte Mortalität war erhöht bei isolierter NT-proBNP-Elevation (HR 2,26; 95%-KI 1,02–5,01) und bei Elevation beider Parameter (HR 3,33; 95%-KI 1,54–7,20), nicht aber bei isolierter LVEDP-Elevation (HR 1,34; 95%-KI 0,45–4,02). Dies unterstreicht, dass beide Parameter komplementäre Informationen liefern.</w:t>
      </w:r>
    </w:p>
    <w:p>
      <w:r>
        <w:rPr>
          <w:b/>
          <w:sz w:val="19"/>
        </w:rPr>
        <w:t xml:space="preserve">Übertragbarkeit: </w:t>
      </w:r>
      <w:r>
        <w:rPr>
          <w:sz w:val="19"/>
        </w:rPr>
        <w:t>Deutsche Universitätskliniken; direkte invasive Diagnostik ändert Strategie bei vermuteter HFpEF.</w:t>
      </w:r>
    </w:p>
    <w:p>
      <w:r>
        <w:rPr>
          <w:color w:val="5A7D3A"/>
          <w:sz w:val="18"/>
        </w:rPr>
        <w:t>https://pubmed.ncbi.nlm.nih.gov/42744605/</w:t>
      </w:r>
    </w:p>
    <w:p>
      <w:pPr>
        <w:pStyle w:val="Heading2"/>
      </w:pPr>
      <w:r>
        <w:t>Blutkultur-Epidemiologie weist auf Lücken in Endokarditis-Screening hin: Risiko unterschätzt bei Gruppierung seltener Spezies</w:t>
      </w:r>
    </w:p>
    <w:p>
      <w:r>
        <w:rPr>
          <w:i/>
          <w:color w:val="666666"/>
          <w:sz w:val="18"/>
        </w:rPr>
        <w:t>De Oliveira EK et al.  ·  Open Heart  ·  15.09.2026  ·  PMID 42744415</w:t>
      </w:r>
    </w:p>
    <w:p>
      <w:r>
        <w:t>Single-Center-Registerstudie (2015–2021) an 4.242 Patienten/3.708 Admission mit 4.939 Blutkultur-Infektionen: Erfassung aller BSI und Auswertung ihres Anteils an definierter Infektive Endokarditis und Echokardiographie-Screening-Raten.</w:t>
      </w:r>
    </w:p>
    <w:p>
      <w:r>
        <w:rPr>
          <w:b/>
        </w:rPr>
        <w:t xml:space="preserve">Ergebnis: </w:t>
      </w:r>
      <w:r>
        <w:t>IE-Prävalenz aller BSI 2,7 %. Höchste IE-Anteile bei seltenen Pathogenen: Streptococcus bovis 19,2 %, Listeria monocytogenes 16,7 %. Häufigere (Enterobacterales 48,3 %, Staph aureus 11,5 %) zeigten niedrigere IE-Raten. Patienten mit Implantat 5-fach höhere IE-Prävalenz. Echokardiographie-Screening 75 % für S. aureus, 27–59 % für andere Spezies ohne IE.</w:t>
      </w:r>
    </w:p>
    <w:p>
      <w:r>
        <w:rPr>
          <w:b/>
          <w:sz w:val="19"/>
        </w:rPr>
        <w:t xml:space="preserve">Übertragbarkeit: </w:t>
      </w:r>
      <w:r>
        <w:rPr>
          <w:sz w:val="19"/>
        </w:rPr>
        <w:t>Belgisch-italienisches Universitätsklinikum; Systematik auf deutsche Endokarditis-Screening-Protokolle anwendbar.</w:t>
      </w:r>
    </w:p>
    <w:p>
      <w:r>
        <w:rPr>
          <w:color w:val="5A7D3A"/>
          <w:sz w:val="18"/>
        </w:rPr>
        <w:t>https://pubmed.ncbi.nlm.nih.gov/42744415/</w:t>
      </w:r>
    </w:p>
    <w:p>
      <w:pPr>
        <w:pStyle w:val="Heading2"/>
      </w:pPr>
      <w:r>
        <w:t>Spezialisierte Krankenpfleger in Notaufnahme erzielen 92,7 % Genauigkeit beim Akutinfarkt-Screening</w:t>
      </w:r>
    </w:p>
    <w:p>
      <w:r>
        <w:rPr>
          <w:i/>
          <w:color w:val="666666"/>
          <w:sz w:val="18"/>
        </w:rPr>
        <w:t>Shaw C et al.  ·  Open Heart  ·  15.09.2026  ·  PMID 42744414</w:t>
      </w:r>
    </w:p>
    <w:p>
      <w:r>
        <w:t>Britischer Distrikt-Klinik-Evaluationsstudie an 233 Patienten: Vergleich zwischen Diagnosen von Cardiac-Outreach-Practitioners (Spezialkrankenpflegern) außerhalb normaler Geschäftszeiten und finalen Entlassungsdiagnosen durch Kardiologen.</w:t>
      </w:r>
    </w:p>
    <w:p>
      <w:r>
        <w:rPr>
          <w:b/>
        </w:rPr>
        <w:t xml:space="preserve">Ergebnis: </w:t>
      </w:r>
      <w:r>
        <w:t>Exakte diagnostische Konkordanz 92,7 % (216/233). Für akutes Koronarsyndrom: Sensitivität 96,0 %, Spezifität 92,4 %, negativ-prädiktiver Wert 98,0 %, Cohen κ = 0,858 (95%-KI 0,789–0,927). Von 17 diskordanten Fällen führte keine zu verzögerter Eskalation oder Diagnostik.</w:t>
      </w:r>
    </w:p>
    <w:p>
      <w:r>
        <w:rPr>
          <w:b/>
          <w:sz w:val="19"/>
        </w:rPr>
        <w:t xml:space="preserve">Übertragbarkeit: </w:t>
      </w:r>
      <w:r>
        <w:rPr>
          <w:sz w:val="19"/>
        </w:rPr>
        <w:t>UK National Health Service-Daten; Modell auf strukturierte Versorgungspfade in Deutschland anwendbar.</w:t>
      </w:r>
    </w:p>
    <w:p>
      <w:r>
        <w:rPr>
          <w:color w:val="5A7D3A"/>
          <w:sz w:val="18"/>
        </w:rPr>
        <w:t>https://pubmed.ncbi.nlm.nih.gov/42744414/</w:t>
      </w:r>
    </w:p>
    <w:p>
      <w:pPr>
        <w:pStyle w:val="Heading2"/>
      </w:pPr>
      <w:r>
        <w:t>Gen-Silencer Eplontersen wirksam nur ohne parallele TTR-Stabilisator-Therapie bei ATTR-Kardiomyopathie</w:t>
      </w:r>
    </w:p>
    <w:p>
      <w:r>
        <w:rPr>
          <w:i/>
          <w:color w:val="666666"/>
          <w:sz w:val="18"/>
        </w:rPr>
        <w:t>García-Pavía P et al.  ·  Nat Med  ·  30.08.2026  ·  PMID 42742182</w:t>
      </w:r>
    </w:p>
    <w:p>
      <w:r>
        <w:t>Präspezifizierte Sekundäranalyse der Phase-3-Studie CARDIO-TTRansform (n=1.432 ATTR-Kardiomyopathie-Patienten): Randomisierung zu Eplontersen oder Placebo; 57 % unter basaler TTR-Stabilisator-Therapie.</w:t>
      </w:r>
    </w:p>
    <w:p>
      <w:r>
        <w:rPr>
          <w:b/>
        </w:rPr>
        <w:t xml:space="preserve">Ergebnis: </w:t>
      </w:r>
      <w:r>
        <w:t>Primärer Endpunkt (kardiovaskulärer Tod oder rekurrente kardiovaskuläre Ereignisse) zeigte Behandlungs-Wechselwirkung nach Stabilisator-Status (P=0,017). Vorteil ohne Stabilisator (RR 0,71; 95%-KI 0,54–0,93; p=0,012), kein Vorteil mit Stabilisator (RR 1,14; 95%-KI 0,85–1,53; p=0,39). Sicherheitsprofil in beiden Gruppen günstig.</w:t>
      </w:r>
    </w:p>
    <w:p>
      <w:r>
        <w:rPr>
          <w:b/>
          <w:sz w:val="19"/>
        </w:rPr>
        <w:t xml:space="preserve">Übertragbarkeit: </w:t>
      </w:r>
      <w:r>
        <w:rPr>
          <w:sz w:val="19"/>
        </w:rPr>
        <w:t>Internationale Phase-3-Studie; Therapie in Deutschland verordnungsfähig, Ergebnis steuert Kombinationsentscheidungen.</w:t>
      </w:r>
    </w:p>
    <w:p>
      <w:r>
        <w:rPr>
          <w:color w:val="5A7D3A"/>
          <w:sz w:val="18"/>
        </w:rPr>
        <w:t>https://pubmed.ncbi.nlm.nih.gov/42742182/</w:t>
      </w:r>
    </w:p>
    <w:p>
      <w:pPr>
        <w:pStyle w:val="Heading2"/>
      </w:pPr>
      <w:r>
        <w:t>RBM20-Gain-of-Function-Varianten verschlechtern Mitochondrienfunktion und Herzinsuffizienz-Phänotyp</w:t>
      </w:r>
    </w:p>
    <w:p>
      <w:r>
        <w:rPr>
          <w:i/>
          <w:color w:val="666666"/>
          <w:sz w:val="18"/>
        </w:rPr>
        <w:t>Kornienko J et al.  ·  Circulation  ·  15.09.2026  ·  PMID 42741825</w:t>
      </w:r>
    </w:p>
    <w:p>
      <w:r>
        <w:t>Mechanistische Studie bei Mausmodellen mit RBM20-Varianten und humanen induzierten pluripotenten Stammzell-Kardiomyten: Untersuchung der Auswirkung auf Mitochondrial Respiration, Calcium-Handling und ultrastrukturelle Veränderungen.</w:t>
      </w:r>
    </w:p>
    <w:p>
      <w:r>
        <w:rPr>
          <w:b/>
        </w:rPr>
        <w:t xml:space="preserve">Ergebnis: </w:t>
      </w:r>
      <w:r>
        <w:t>RBM20 Gain-of-Function, nicht Loss-of-Function, senkte lösliche Mitochondrienproteine und das Kalzium-Efflux-Regulator TMEM65, führte zu vergrößerten Mitochondrien mit Cristae-Desorganisation, verminderter oxidativer Phosphorylierung und abnormaler Kalzium-Handling. Befunde in humanen Kardiomyten reproduziert.</w:t>
      </w:r>
    </w:p>
    <w:p>
      <w:r>
        <w:rPr>
          <w:b/>
          <w:sz w:val="19"/>
        </w:rPr>
        <w:t xml:space="preserve">Übertragbarkeit: </w:t>
      </w:r>
      <w:r>
        <w:rPr>
          <w:sz w:val="19"/>
        </w:rPr>
        <w:t>Deutsche DZHK-Zentren; Mechanismus erklärt aggressive HF-Phänotypen bei GoF-Varianten.</w:t>
      </w:r>
    </w:p>
    <w:p>
      <w:r>
        <w:rPr>
          <w:color w:val="5A7D3A"/>
          <w:sz w:val="18"/>
        </w:rPr>
        <w:t>https://pubmed.ncbi.nlm.nih.gov/42741825/</w:t>
      </w:r>
    </w:p>
    <w:p>
      <w:pPr>
        <w:pStyle w:val="Heading1"/>
      </w:pPr>
      <w:r>
        <w:t>Aufgenommen am 16.09.2026</w:t>
      </w:r>
    </w:p>
    <w:p>
      <w:pPr>
        <w:pStyle w:val="Heading2"/>
      </w:pPr>
      <w:r>
        <w:t>Künstliche Intelligenz und Herzmuskel-Phänotypen vorhersagen Myokardinfarkt-Risiko in der Langzeitbeobachtung</w:t>
      </w:r>
    </w:p>
    <w:p>
      <w:r>
        <w:rPr>
          <w:i/>
          <w:color w:val="666666"/>
          <w:sz w:val="18"/>
        </w:rPr>
        <w:t>Eur Heart J Cardiovasc Imaging  ·  2026  ·  PMID 42721291</w:t>
      </w:r>
    </w:p>
    <w:p>
      <w:r>
        <w:t>Post-hoc-Analyse der SCOT-HEART-Studie mit 1.736 Teilnehmern untersuchte, ob radiomische Phänotypen aus Herz-CTA das Langzeit-Risiko für Herzinfarkt (Median 8,6 Jahre Follow-up) vorhersagen über konventionelle Risikofaktoren hinaus.</w:t>
      </w:r>
    </w:p>
    <w:p>
      <w:r>
        <w:rPr>
          <w:b/>
        </w:rPr>
        <w:t xml:space="preserve">Ergebnis: </w:t>
      </w:r>
      <w:r>
        <w:t>82 von 1.736 Teilnehmern (4,7%) erlebten während Follow-up tödlichen oder nicht-tödlichen Myokardinfarkt. Radiomische Phänotypen waren assoziiert mit Alter, Geschlecht, Hypertension und Diabetes (p&lt;0,01). Integration radiomischer Merkmale in klinisches Modell verbesserte Diskrimination für zukünftige Myokardinfarkte (C-Index von 0,693 auf 0,722, Δ=0,029, p&lt;0,001) und Modell-Fit (Likelihood-Ratio-Test χ²=13,5, p=0,009).</w:t>
      </w:r>
    </w:p>
    <w:p>
      <w:r>
        <w:rPr>
          <w:b/>
          <w:sz w:val="19"/>
        </w:rPr>
        <w:t xml:space="preserve">Übertragbarkeit: </w:t>
      </w:r>
      <w:r>
        <w:rPr>
          <w:sz w:val="19"/>
        </w:rPr>
        <w:t>Schottische Studie, vergleichbare europäische Gesundheitssysteme.</w:t>
      </w:r>
    </w:p>
    <w:p>
      <w:r>
        <w:rPr>
          <w:color w:val="5A7D3A"/>
          <w:sz w:val="18"/>
        </w:rPr>
        <w:t>https://pubmed.ncbi.nlm.nih.gov/42721291/</w:t>
      </w:r>
    </w:p>
    <w:p>
      <w:pPr>
        <w:pStyle w:val="Heading2"/>
      </w:pPr>
      <w:r>
        <w:t>LMNA-Genotyp und Vorhofflimmern-Risiko in genetischer Kardiomyopathie</w:t>
      </w:r>
    </w:p>
    <w:p>
      <w:r>
        <w:rPr>
          <w:i/>
          <w:color w:val="666666"/>
          <w:sz w:val="18"/>
        </w:rPr>
        <w:t>Circ Heart Fail  ·  2026  ·  PMID 42717878</w:t>
      </w:r>
    </w:p>
    <w:p>
      <w:r>
        <w:t>Beobachtungsstudie von 3.117 Patienten mit genetischer dilatativer Kardiomyopathie (DCM) aus der SHaRe-Registry untersuchte Prävalenz, Inzidenz und Prognosebedeutung von Vorhofflimmern nach Genotyp.</w:t>
      </w:r>
    </w:p>
    <w:p>
      <w:r>
        <w:rPr>
          <w:b/>
        </w:rPr>
        <w:t xml:space="preserve">Ergebnis: </w:t>
      </w:r>
      <w:r>
        <w:t>Von 2.491 AF-freien Patienten mit Follow-up entwickelten 312 (12,5%) während eines Medians von 4,5 Jahren Vorhofflimmern. Kumulative AF-Prävalenz betrug 23,6%. LMNA zeigte die höchste AF-Inzidenz (7,6 pro 100 Patientenjahre) und kumulative AF-Prävalenz (56,7%) und war die einzige Genotyp-Variable unabhängig assoziiert mit inzidentem AF (HR 5,52, 95% KI 3,84-7,95; p&lt;0,001). TTN hatte AF-Inzidenz von 2,1 pro 100 Patientenjahre. AF war unabhängig assoziiert mit erhöhtem Risiko für kombiniertes Endpunkt (HR 1,58, 95% KI 1,29-1,94; p&lt;0,001) einschließlich Herzinsuffizienz, ventrikuläre Arrhythmien und Gesamtsterblichkeit.</w:t>
      </w:r>
    </w:p>
    <w:p>
      <w:r>
        <w:rPr>
          <w:b/>
          <w:sz w:val="19"/>
        </w:rPr>
        <w:t xml:space="preserve">Übertragbarkeit: </w:t>
      </w:r>
      <w:r>
        <w:rPr>
          <w:sz w:val="19"/>
        </w:rPr>
        <w:t>Internationale Studie mit niederländischen/europäischen Zentren, vergleichbar mit deutschen Versorgungssystemen.</w:t>
      </w:r>
    </w:p>
    <w:p>
      <w:r>
        <w:rPr>
          <w:color w:val="5A7D3A"/>
          <w:sz w:val="18"/>
        </w:rPr>
        <w:t>https://pubmed.ncbi.nlm.nih.gov/42717878/</w:t>
      </w:r>
    </w:p>
    <w:p>
      <w:pPr>
        <w:pStyle w:val="Heading1"/>
      </w:pPr>
      <w:r>
        <w:t>Aufgenommen am 15.09.2026</w:t>
      </w:r>
    </w:p>
    <w:p>
      <w:pPr>
        <w:pStyle w:val="Heading2"/>
      </w:pPr>
      <w:r>
        <w:t>Klinische Verwaltung des Herzinfarkts: Revaskularisierung, Sekundärprävention und Umgang mit Hochrisiko-Gruppen</w:t>
      </w:r>
    </w:p>
    <w:p>
      <w:r>
        <w:rPr>
          <w:i/>
          <w:color w:val="666666"/>
          <w:sz w:val="18"/>
        </w:rPr>
        <w:t>Landi A et al.  ·  Circulation  ·  15.09.2026  ·  PMID 42735223</w:t>
      </w:r>
    </w:p>
    <w:p>
      <w:r>
        <w:t>Konsens-Review der zeitgenössischen Verwaltung des Herzinfarkts mit Fokus auf diagnostische Rahmenbedingungen, Risikostratifizierung, Revaskularisierungsstrategien (Timing, komplette Revaskularisierung) und Sekundärprävention, einschließlich MI ohne obstruktive Koronararterienerkrankung.</w:t>
      </w:r>
    </w:p>
    <w:p>
      <w:r>
        <w:rPr>
          <w:b/>
        </w:rPr>
        <w:t xml:space="preserve">Ergebnis: </w:t>
      </w:r>
      <w:r>
        <w:t>Das Review fasst aktuelle Evidenz zusammen: Protokollierte sofortige Reperfusion durch pPCI oder Fibrinolyse (wenn pPCI nicht innerhalb 120 Min verfügbar) reduzierte Mortalität substanziell. Adjunktive Pharmakotherapie und Sekundärprävention sind kritisch. Über 370.000 Todesfälle pro Jahr in USA trotz Fortschritten; viele Patienten erleben Rezidiv-Ereignisse trotz Risikofaktor-Kontrolle, was neue Ansätze zur post-MI-Komplikations-Vorbeugung motiviert.</w:t>
      </w:r>
    </w:p>
    <w:p>
      <w:r>
        <w:rPr>
          <w:b/>
          <w:sz w:val="19"/>
        </w:rPr>
        <w:t xml:space="preserve">Übertragbarkeit: </w:t>
      </w:r>
      <w:r>
        <w:rPr>
          <w:sz w:val="19"/>
        </w:rPr>
        <w:t>Internationales Kardiologie-Review, klinische Standard-Verwaltung, praxis-orientiert für Deutsch-Versorgung.</w:t>
      </w:r>
    </w:p>
    <w:p>
      <w:r>
        <w:rPr>
          <w:color w:val="5A7D3A"/>
          <w:sz w:val="18"/>
        </w:rPr>
        <w:t>https://pubmed.ncbi.nlm.nih.gov/42735223/</w:t>
      </w:r>
    </w:p>
    <w:p>
      <w:pPr>
        <w:pStyle w:val="Heading2"/>
      </w:pPr>
      <w:r>
        <w:t>Arterielle Steifheit und LV-Dysfunktion erklären schlechte Lebensqualität vor Vorhofflimmern-Ablation</w:t>
      </w:r>
    </w:p>
    <w:p>
      <w:r>
        <w:rPr>
          <w:i/>
          <w:color w:val="666666"/>
          <w:sz w:val="18"/>
        </w:rPr>
        <w:t>Kruska M et al.  ·  Clin Res Cardiol  ·  14.09.2026  ·  PMID 42734670</w:t>
      </w:r>
    </w:p>
    <w:p>
      <w:r>
        <w:t>Deutsche prospektive Beobachtungsstudie mit 83 Patienten mit symptomatischem Vorhofflimmern zur Untersuchung von Gefäß- und Herzparametern als Determinanten der AFEQT-Lebensqualitäts-Scores vor Ablation.</w:t>
      </w:r>
    </w:p>
    <w:p>
      <w:r>
        <w:rPr>
          <w:b/>
        </w:rPr>
        <w:t xml:space="preserve">Ergebnis: </w:t>
      </w:r>
      <w:r>
        <w:t>Reduzierte Lebensqualität (mittlerer AFEQT 60±19) korrelierte stark mit höherer Gefäßsteifheit (r=-0,62, p&lt;0,001), erhöhtem zentralen systolischem Druck (r=-0,38, p&lt;0,001), LV-Auswurffraktion &lt;50% (r=-0,74, p&lt;0,001) und NT-proBNP (r=-0,38, p&lt;0,001). Diese Assoziationen deuten darauf hin, dass kardiovaskuläre Dysfunktion jenseits des Vorhofflimmerns die Symptome treibt.</w:t>
      </w:r>
    </w:p>
    <w:p>
      <w:r>
        <w:rPr>
          <w:b/>
          <w:sz w:val="19"/>
        </w:rPr>
        <w:t xml:space="preserve">Übertragbarkeit: </w:t>
      </w:r>
      <w:r>
        <w:rPr>
          <w:sz w:val="19"/>
        </w:rPr>
        <w:t>Deutsche Universitätsklinik-Daten, Ablationspatient*innen in der Regelversorgung repräsentativ.</w:t>
      </w:r>
    </w:p>
    <w:p>
      <w:r>
        <w:rPr>
          <w:color w:val="5A7D3A"/>
          <w:sz w:val="18"/>
        </w:rPr>
        <w:t>https://pubmed.ncbi.nlm.nih.gov/42734670/</w:t>
      </w:r>
    </w:p>
    <w:p>
      <w:pPr>
        <w:pStyle w:val="Heading2"/>
      </w:pPr>
      <w:r>
        <w:t>Nx3-Protein bei Herzinsuffizienz reduziert: Z-Scheiben-Struktur und Signalübertragung beeinträchtigt</w:t>
      </w:r>
    </w:p>
    <w:p>
      <w:r>
        <w:rPr>
          <w:i/>
          <w:color w:val="666666"/>
          <w:sz w:val="18"/>
        </w:rPr>
        <w:t>Linke WA et al.  ·  Circ Res  ·  10.09.2026  ·  PMID 42717863</w:t>
      </w:r>
    </w:p>
    <w:p>
      <w:r>
        <w:t>Grundlagenforschung mit Maus- und Humanmodellen zur Rolle des Z-Scheiben-Proteins Nx3 (novex-3), einem kleinen Titin-Isoform, in der Herzmuskel-Mechanik und Signalübertragung bei Herzinsuffizienz.</w:t>
      </w:r>
    </w:p>
    <w:p>
      <w:r>
        <w:rPr>
          <w:b/>
        </w:rPr>
        <w:t xml:space="preserve">Ergebnis: </w:t>
      </w:r>
      <w:r>
        <w:t>Nx3 macht 20-25% des Gesamt-Titin-Proteins aus. Genetische Ablation oder Reduktion beeinträchtigte Z-Scheiben-Organisation und mechanische Leistung. Bei dilatativer Kardiomyopathie im Endstadium war Nx3-Expression dysreguliert und reduziert (versus normal), mit fokalen Z-Scheiben-Störungen. Nx3 interagiert mit Pin1 und TBC1D4, die Stoffwechsel-Signalisierung regulieren. Das erklärt einen strukturellen und funktionellen Mechanismus von Herzinsuffizienzverschlechterung.</w:t>
      </w:r>
    </w:p>
    <w:p>
      <w:r>
        <w:rPr>
          <w:b/>
          <w:sz w:val="19"/>
        </w:rPr>
        <w:t xml:space="preserve">Übertragbarkeit: </w:t>
      </w:r>
      <w:r>
        <w:rPr>
          <w:sz w:val="19"/>
        </w:rPr>
        <w:t>Deutsche und europäische Grundlagenlabore, mechanistisches Fundament für zukünftige therapeutische Entwicklung.</w:t>
      </w:r>
    </w:p>
    <w:p>
      <w:r>
        <w:rPr>
          <w:color w:val="5A7D3A"/>
          <w:sz w:val="18"/>
        </w:rPr>
        <w:t>https://pubmed.ncbi.nlm.nih.gov/42717863/</w:t>
      </w:r>
    </w:p>
    <w:p>
      <w:pPr>
        <w:pStyle w:val="Heading2"/>
      </w:pPr>
      <w:r>
        <w:t>Niedrigeres Noradrenalin-Blutdruckziel bei kardiogenem Schock verbessert Nieren- und Sterblichkeitsergebnisse: NORshock-Studie Design</w:t>
      </w:r>
    </w:p>
    <w:p>
      <w:r>
        <w:rPr>
          <w:i/>
          <w:color w:val="666666"/>
          <w:sz w:val="18"/>
        </w:rPr>
        <w:t>Ten Berg S et al.  ·  EuroIntervention  ·  07.09.2026  ·  PMID 42703766</w:t>
      </w:r>
    </w:p>
    <w:p>
      <w:r>
        <w:t>Internationale, offene, multizentrische RCT mit geplant 776 Patienten mit Herzinfarkt-bedingtem kardiogenem Schock, die Noradrenalin mit Ziel-Mitteldruck 55 mmHg versus Standard 65 mmHg erhalten.</w:t>
      </w:r>
    </w:p>
    <w:p>
      <w:r>
        <w:rPr>
          <w:b/>
        </w:rPr>
        <w:t xml:space="preserve">Ergebnis: </w:t>
      </w:r>
      <w:r>
        <w:t>Primärer Endpunkt ist kombiniert: Gesamtmortalität und Nierenersatztherapie innerhalb 30 Tagen. Die Studie testet die Hypothese, dass permissive Hypotension mit weniger Noradrenalin die Standardbehandlung übertrifft und soll Belege für ein neueres Management kardiogener Schocks liefern.</w:t>
      </w:r>
    </w:p>
    <w:p>
      <w:r>
        <w:rPr>
          <w:b/>
          <w:sz w:val="19"/>
        </w:rPr>
        <w:t xml:space="preserve">Übertragbarkeit: </w:t>
      </w:r>
      <w:r>
        <w:rPr>
          <w:sz w:val="19"/>
        </w:rPr>
        <w:t>Europäisch-niederländische Kooperation, Versorgungsstandard-relevante Studie zu etablierter Notfall-Therapie.</w:t>
      </w:r>
    </w:p>
    <w:p>
      <w:r>
        <w:rPr>
          <w:color w:val="5A7D3A"/>
          <w:sz w:val="18"/>
        </w:rPr>
        <w:t>https://pubmed.ncbi.nlm.nih.gov/42703766/</w:t>
      </w:r>
    </w:p>
    <w:p>
      <w:pPr>
        <w:pStyle w:val="Heading2"/>
      </w:pPr>
      <w:r>
        <w:t>Persistierende Troponin-T-Erhöhung nach ACS sagt Herzinsuffizienz innerhalb eines Jahres voraus</w:t>
      </w:r>
    </w:p>
    <w:p>
      <w:r>
        <w:rPr>
          <w:i/>
          <w:color w:val="666666"/>
          <w:sz w:val="18"/>
        </w:rPr>
        <w:t>Erichsen PA et al.  ·  Int J Cardiol  ·  30.08.2026  ·  PMID 42669312</w:t>
      </w:r>
    </w:p>
    <w:p>
      <w:r>
        <w:t>Dänische Register-Kohortenstudie mit 26.835 Patienten ohne bekannte Herzinsuffizienz, die sich mit akutem Koronarsyndrom vorstellten und zwei Troponin-T-Messungen erhielten, zur Vorhersage von Herzinsuffizienzhospitalisierung.</w:t>
      </w:r>
    </w:p>
    <w:p>
      <w:r>
        <w:rPr>
          <w:b/>
        </w:rPr>
        <w:t xml:space="preserve">Ergebnis: </w:t>
      </w:r>
      <w:r>
        <w:t>Innerhalb von 30 Tagen entwickelten 4,2% der Patienten Herzinsuffizienz, zwischen Tag 31-365 weitere 2,8%. Patienten mit zwei normalen Troponinwerten hatten das niedrigste Risiko (0-30 Tage: 0,3%, Tag 31-365: 0,4%), während persistierende Troponinerhöhung das höchste Risiko zeigte (0-30 Tage: 6,6%, Tag 31-365: 4,3%). Höhere Peak-Troponinwerte korrelierten mit erhöhtem Herzinsuffizienzrisiko.</w:t>
      </w:r>
    </w:p>
    <w:p>
      <w:r>
        <w:rPr>
          <w:b/>
          <w:sz w:val="19"/>
        </w:rPr>
        <w:t xml:space="preserve">Übertragbarkeit: </w:t>
      </w:r>
      <w:r>
        <w:rPr>
          <w:sz w:val="19"/>
        </w:rPr>
        <w:t>Skandinavische Gesundheitsregisterdaten, Biomarker-Strategie auf deutsche Akut-Versorgung übertragbar.</w:t>
      </w:r>
    </w:p>
    <w:p>
      <w:r>
        <w:rPr>
          <w:color w:val="5A7D3A"/>
          <w:sz w:val="18"/>
        </w:rPr>
        <w:t>https://pubmed.ncbi.nlm.nih.gov/42669312/</w:t>
      </w:r>
    </w:p>
    <w:p>
      <w:pPr>
        <w:pStyle w:val="Heading2"/>
      </w:pPr>
      <w:r>
        <w:t>Catheter ablation für symptomatisches Vorhofflimmern zeigt keine Überlegenheit gegenüber Sham-Verfahren</w:t>
      </w:r>
    </w:p>
    <w:p>
      <w:r>
        <w:rPr>
          <w:i/>
          <w:color w:val="666666"/>
          <w:sz w:val="18"/>
        </w:rPr>
        <w:t>Wachter R et al.  ·  Lancet  ·  12.09.2026  ·  PMID 42669307</w:t>
      </w:r>
    </w:p>
    <w:p>
      <w:r>
        <w:t>Doppelblinde, randomisierte deutsche und polnische Studie mit 262 Patienten zur Frage, ob Katheterablation die Lebensqualität bei symptomatischem Vorhofflimmern besser verbessert als ein Schein-Verfahren.</w:t>
      </w:r>
    </w:p>
    <w:p>
      <w:r>
        <w:rPr>
          <w:b/>
        </w:rPr>
        <w:t xml:space="preserve">Ergebnis: </w:t>
      </w:r>
      <w:r>
        <w:t>Nach 6 Monaten zeigte die Katheterablation-Gruppe eine Verbesserung des AFEQT-Scores von 61,3 auf 81,1 Punkte, die Sham-Gruppe von 59,2 auf 74,9 Punkte. Der Unterschied zwischen den Gruppen betrug nur 2,6 Punkte (95% KI -2,7 bis 8,0; p=0,36), was statistisch nicht signifikant war. Ernsthafte, mit der Prozedur verbundene Nebenwirkungen traten bei 10 Patienten auf (6 Ablation, 4 Sham).</w:t>
      </w:r>
    </w:p>
    <w:p>
      <w:r>
        <w:rPr>
          <w:b/>
          <w:sz w:val="19"/>
        </w:rPr>
        <w:t xml:space="preserve">Übertragbarkeit: </w:t>
      </w:r>
      <w:r>
        <w:rPr>
          <w:sz w:val="19"/>
        </w:rPr>
        <w:t>Deutsche Multizenterstudie mit standardisierten Messinstrumenten, unmittelbar auf deutsche Versorgung übertragbar.</w:t>
      </w:r>
    </w:p>
    <w:p>
      <w:r>
        <w:rPr>
          <w:color w:val="5A7D3A"/>
          <w:sz w:val="18"/>
        </w:rPr>
        <w:t>https://pubmed.ncbi.nlm.nih.gov/42669307/</w:t>
      </w:r>
    </w:p>
    <w:p>
      <w:pPr>
        <w:pStyle w:val="Heading1"/>
      </w:pPr>
      <w:r>
        <w:t>Aufgenommen am 14.09.2026</w:t>
      </w:r>
    </w:p>
    <w:p>
      <w:pPr>
        <w:pStyle w:val="Heading2"/>
      </w:pPr>
      <w:r>
        <w:t>Adipositas verstärkt Herzinfarkt-Schaden durch gesteigerte myeloide TREM1-Expression</w:t>
      </w:r>
    </w:p>
    <w:p>
      <w:r>
        <w:rPr>
          <w:i/>
          <w:color w:val="666666"/>
          <w:sz w:val="18"/>
        </w:rPr>
        <w:t>Gladow N et al.  ·  Basic Res Cardiol  ·  11.09.2026  ·  PMID 42726202</w:t>
      </w:r>
    </w:p>
    <w:p>
      <w:r>
        <w:t>Experimentelle Studie an diätinduziert adipösen und schlanken Mäusen beiden Geschlechts zur Rolle von Myelopoiese und TREM1-Blockade nach experimentellem Herzinfarkt.</w:t>
      </w:r>
    </w:p>
    <w:p>
      <w:r>
        <w:rPr>
          <w:b/>
        </w:rPr>
        <w:t xml:space="preserve">Ergebnis: </w:t>
      </w:r>
      <w:r>
        <w:t>Adipöse Mäuse zeigten höhere Körpergewichte, signifikant erhöhte Myelopoiese in der Milz und höhere periphere Leukozyten als schlanke Weibchen. Überlebensvorteil bei schlanken Tieren: 56 Tage nach MI 87% Überleben vs. 58% bei adipösen (p&lt;0,05). Adipöse Mäuse: erhöhte infarkt-induzierte Myelopoiese, höhere Granulozyt-, Monozyten- und pro-inflammatorische Makrophagen-Zahl im Myokard. TREM1-Expression verstärkt bei adipösen Mäusen am Tag 5 nach MI (RNA-Sequenzierung und Immunohistologie). TREM1-Blockade führte zu signifikant besserer Erhaltung der systolischen Funktion bei adipösen Mäusen.</w:t>
      </w:r>
    </w:p>
    <w:p>
      <w:r>
        <w:rPr>
          <w:b/>
          <w:sz w:val="19"/>
        </w:rPr>
        <w:t xml:space="preserve">Übertragbarkeit: </w:t>
      </w:r>
      <w:r>
        <w:rPr>
          <w:sz w:val="19"/>
        </w:rPr>
        <w:t>Deutsche Grundlagenforschung (Würzburg), erkennbarer Weg zur Therapie (TREM1-Blockade)</w:t>
      </w:r>
    </w:p>
    <w:p>
      <w:r>
        <w:rPr>
          <w:color w:val="5A7D3A"/>
          <w:sz w:val="18"/>
        </w:rPr>
        <w:t>https://pubmed.ncbi.nlm.nih.gov/42726202/</w:t>
      </w:r>
    </w:p>
    <w:p>
      <w:pPr>
        <w:pStyle w:val="Heading2"/>
      </w:pPr>
      <w:r>
        <w:t>Geschlechtsspezifische Unterschiede bei akuter Herzinsuffizienz: Präsentation, Befunde und Genesung</w:t>
      </w:r>
    </w:p>
    <w:p>
      <w:r>
        <w:rPr>
          <w:i/>
          <w:color w:val="666666"/>
          <w:sz w:val="18"/>
        </w:rPr>
        <w:t>Khoraizat A et al.  ·  ESC Heart Fail  ·  09.09.2026  ·  PMID 42714581</w:t>
      </w:r>
    </w:p>
    <w:p>
      <w:r>
        <w:t>Prospektive observationsstudie zu Geschlechtsunterschieden in Klinik, Bildgebung und Kurzzeitverlauf bei 567 hospitalisierten Patienten mit akuter Herzinsuffizienz in Dänemark.</w:t>
      </w:r>
    </w:p>
    <w:p>
      <w:r>
        <w:rPr>
          <w:b/>
        </w:rPr>
        <w:t xml:space="preserve">Ergebnis: </w:t>
      </w:r>
      <w:r>
        <w:t>248 Frauen (43,7%) vs. 319 Männer, Durchschnittsalter 78,2±11,6 Jahre. Frauen älter, häufiger Vorhofflimmern (p&lt;0,05) und Hypertonie, Männer häufiger dyslipidämisch und mit Herzinfarkt-Anamnese. Frauen präsentierten häufiger mit Palpitationen/Ödemen, Männer mit Brustschmerz. Frauen: höhere LVEF (38% vs. 35%; p&lt;0,001), höhere GLS-Absolutwerte (10,5±4,7% vs. 9,7±4,4%; p=0,04), niedrigerer LV-Mass-Index (113 vs. 136 g/m²; p&lt;0,001). Männer höhere B-Linien-Zahl in Lungencsonografie (5 [1-12] vs. 2 [0-9]; p=0,003). Kurzzeitverlauf und 180-Tage-Ergebnisse vergleichbar zwischen Geschlechtern.</w:t>
      </w:r>
    </w:p>
    <w:p>
      <w:r>
        <w:rPr>
          <w:b/>
          <w:sz w:val="19"/>
        </w:rPr>
        <w:t xml:space="preserve">Übertragbarkeit: </w:t>
      </w:r>
      <w:r>
        <w:rPr>
          <w:sz w:val="19"/>
        </w:rPr>
        <w:t>Europäisches (dänisches) Gesundheitssystem, skandinavische Versorgungspraxis</w:t>
      </w:r>
    </w:p>
    <w:p>
      <w:r>
        <w:rPr>
          <w:color w:val="5A7D3A"/>
          <w:sz w:val="18"/>
        </w:rPr>
        <w:t>https://pubmed.ncbi.nlm.nih.gov/42714581/</w:t>
      </w:r>
    </w:p>
    <w:p>
      <w:pPr>
        <w:pStyle w:val="Heading2"/>
      </w:pPr>
      <w:r>
        <w:t>Genetische Varianten erhöhen Herzinsuffizienz-Risiko bei hypoplastischem Linksherz 9-fach</w:t>
      </w:r>
    </w:p>
    <w:p>
      <w:r>
        <w:rPr>
          <w:i/>
          <w:color w:val="666666"/>
          <w:sz w:val="18"/>
        </w:rPr>
        <w:t>Balint BN et al.  ·  J Am Coll Cardiol  ·  08.09.2026  ·  PMID 42714046</w:t>
      </w:r>
    </w:p>
    <w:p>
      <w:r>
        <w:t>Prospektive US-Multizenterstudie (Duke, UNC, Nationwide, Vanderbilt) zur Assoziation seltener Varianten in Kardiomyopathie-Genen mit früher Herzinsuffizienz-Entwicklung bei Neugeborenen mit hypoplastischem Linksherz.</w:t>
      </w:r>
    </w:p>
    <w:p>
      <w:r>
        <w:rPr>
          <w:b/>
        </w:rPr>
        <w:t xml:space="preserve">Ergebnis: </w:t>
      </w:r>
      <w:r>
        <w:t>35 Neugeborene prospektiv eingeschlossen: 7 (20%) entwickelten schwere HF, 10 (28,6%) medizinisch behandelte HF, 18 (51,4%) blieben HF-frei. Pathogene/wahrscheinlich pathogene Varianten assoziiert mit 9-fach erhöhtem Risiko für schwere HF (p=0,02). 67% der schweren HF-Ereignisse im ersten Lebensmonat. Externe Replikation an Nationwide Children's (11-fach erhöht; p&lt;0,05) und Vanderbilt (3-fach; p&lt;0,05). Ambispektive Kohorte (ältere Patienten) zeigten abgeschwächte Assoziationen (p&gt;0,05).</w:t>
      </w:r>
    </w:p>
    <w:p>
      <w:r>
        <w:rPr>
          <w:b/>
          <w:sz w:val="19"/>
        </w:rPr>
        <w:t xml:space="preserve">Übertragbarkeit: </w:t>
      </w:r>
      <w:r>
        <w:rPr>
          <w:sz w:val="19"/>
        </w:rPr>
        <w:t>USA-Studie, aber genetische Befunde universell; Risikostratifizierung prinzipiell auf Deutschland übertragbar</w:t>
      </w:r>
    </w:p>
    <w:p>
      <w:r>
        <w:rPr>
          <w:color w:val="5A7D3A"/>
          <w:sz w:val="18"/>
        </w:rPr>
        <w:t>https://pubmed.ncbi.nlm.nih.gov/42714046/</w:t>
      </w:r>
    </w:p>
    <w:p>
      <w:pPr>
        <w:pStyle w:val="Heading2"/>
      </w:pPr>
      <w:r>
        <w:t>Trikuspidalinsuffizienz in ATTR-Kardiomyopathie: Neue quantitative Prognosegrenzwerte</w:t>
      </w:r>
    </w:p>
    <w:p>
      <w:r>
        <w:rPr>
          <w:i/>
          <w:color w:val="666666"/>
          <w:sz w:val="18"/>
        </w:rPr>
        <w:t>Hauptmann L et al.  ·  JAMA Cardiol  ·  31.08.2026  ·  PMID 42671012</w:t>
      </w:r>
    </w:p>
    <w:p>
      <w:r>
        <w:t>Internationale multizentrische Kohortenstudie in Österreich, Italien, Deutschland und Niederlanden zur Ableitung krankheitsspezifischer Prognose-Schwellwerte für Trikuspidalinsuffizienz bei Transthyretin-Amyloid-Kardiomyopathie.</w:t>
      </w:r>
    </w:p>
    <w:p>
      <w:r>
        <w:rPr>
          <w:b/>
        </w:rPr>
        <w:t xml:space="preserve">Ergebnis: </w:t>
      </w:r>
      <w:r>
        <w:t>1124 Patienten (Derivation 745, Validation 379); 324/1124 Patienten (28,8%) starben, 251 (22,3%) hospitalisiert wegen Herzinsuffizienz über Mediann-Nachverfolgung von 25,2 Monaten. Neue Schwellwerte (VCW ≥5 mm, EROA ≥0,25 cm², RegVol ≥20 mL) identifizierten 334 Patienten (29,7%) mit hohem/extremen Risiko vs. 130 (11,6%) nach Leitliniendefinition. Hazard Ratio für Mortalität 1,41 (95%-KI 1,23-1,62) pro Stadium. Überlegene Diskriminierung gegenüber Standarddefinitionen.</w:t>
      </w:r>
    </w:p>
    <w:p>
      <w:r>
        <w:rPr>
          <w:b/>
          <w:sz w:val="19"/>
        </w:rPr>
        <w:t xml:space="preserve">Übertragbarkeit: </w:t>
      </w:r>
      <w:r>
        <w:rPr>
          <w:sz w:val="19"/>
        </w:rPr>
        <w:t>Europäische multizentrische Daten, vergleichbare Versorgungssysteme in D-A-CH</w:t>
      </w:r>
    </w:p>
    <w:p>
      <w:r>
        <w:rPr>
          <w:color w:val="5A7D3A"/>
          <w:sz w:val="18"/>
        </w:rPr>
        <w:t>https://pubmed.ncbi.nlm.nih.gov/42671012/</w:t>
      </w:r>
    </w:p>
    <w:p>
      <w:pPr>
        <w:pStyle w:val="Heading2"/>
      </w:pPr>
      <w:r>
        <w:t>Transkatheter-Trikuspidalklappnreparatur reduziert Sterblichkeit und Herzinsuffizienz-Hospitalisierung</w:t>
      </w:r>
    </w:p>
    <w:p>
      <w:r>
        <w:rPr>
          <w:i/>
          <w:color w:val="666666"/>
          <w:sz w:val="18"/>
        </w:rPr>
        <w:t>Hausleiter J et al.  ·  N Engl J Med  ·  30.08.2026  ·  PMID 42670975</w:t>
      </w:r>
    </w:p>
    <w:p>
      <w:r>
        <w:t>Randomisierte Studie zum Vergleich von transkatheter Trikuspidalklappnreparatur plus Standardtherapie gegen Standardtherapie allein bei schwerer Trikuspidalinsuffizienz in Deutschland und international.</w:t>
      </w:r>
    </w:p>
    <w:p>
      <w:r>
        <w:rPr>
          <w:b/>
        </w:rPr>
        <w:t xml:space="preserve">Ergebnis: </w:t>
      </w:r>
      <w:r>
        <w:t>Win-Ratio 2,42 (95%-KI 1,76-3,33; p&lt;0,001) für primären kombiniert Endpunkt nach 1 Jahr. Freiheit von Tod oder Herzinsuffizienz-Hospitalisierung über 3 Jahre: 52,4% vs. 21,0% (Hazard Ratio 0,40; 95%-KI 0,29-0,55; p&lt;0,001). Schwere unerwünschte Ereignisse innerhalb 30 Tage in 5,9% der Interventionsgruppe. Praxisveränderndes Ergebnis mit harten Endpunkten.</w:t>
      </w:r>
    </w:p>
    <w:p>
      <w:r>
        <w:rPr>
          <w:b/>
          <w:sz w:val="19"/>
        </w:rPr>
        <w:t xml:space="preserve">Übertragbarkeit: </w:t>
      </w:r>
      <w:r>
        <w:rPr>
          <w:sz w:val="19"/>
        </w:rPr>
        <w:t>Deutsche Studie, DZHK-finanziert, deutsches Patientenkollektiv, direkt übertragbar</w:t>
      </w:r>
    </w:p>
    <w:p>
      <w:r>
        <w:rPr>
          <w:color w:val="5A7D3A"/>
          <w:sz w:val="18"/>
        </w:rPr>
        <w:t>https://pubmed.ncbi.nlm.nih.gov/42670975/</w:t>
      </w:r>
    </w:p>
    <w:p>
      <w:pPr>
        <w:pStyle w:val="Heading2"/>
      </w:pPr>
      <w:r>
        <w:t>Zirkadianer Druck im Vorhof: Abendanstieg auch unter optimierter Diuretika-Therapie</w:t>
      </w:r>
    </w:p>
    <w:p>
      <w:r>
        <w:rPr>
          <w:i/>
          <w:color w:val="666666"/>
          <w:sz w:val="18"/>
        </w:rPr>
        <w:t>Amir Y et al.  ·  Eur J Heart Fail  ·  31.08.2026  ·  PMID 42670644</w:t>
      </w:r>
    </w:p>
    <w:p>
      <w:r>
        <w:t>Observationsstudie mit implantierbarem Drucksensor zu täglichen Schwankungen des linksatrialen Drucks bei ambulanten Herzinsuffizienz-Patienten über 25,5 Monate.</w:t>
      </w:r>
    </w:p>
    <w:p>
      <w:r>
        <w:rPr>
          <w:b/>
        </w:rPr>
        <w:t xml:space="preserve">Ergebnis: </w:t>
      </w:r>
      <w:r>
        <w:t>Über &gt;15.500 Messtage bei 73 Patienten: Medianer linksatrialer Druck abends 12,4 [6,8-18,3] mmHg vs. morgens 10,7 [5,5-17,3] mmHg (p&lt;0,01). Höhere Diuretika-Dosis oder Zweimal-Gabe modifizierte Rhythmus nicht (p=0,98 bzw. p=0,50). Patienten mit akuter Dekompensation zeigten höhere Drücke (14,3 [9,5-19,9] vs. 10,4 [5,4-17,3] mmHg; p&lt;0,01). LAP unabhängig mit erhöhtem Dekompensationsrisiko assoziiert (OR 1,40; 95%-KI 1,10-1,78; p&lt;0,01).</w:t>
      </w:r>
    </w:p>
    <w:p>
      <w:r>
        <w:rPr>
          <w:b/>
          <w:sz w:val="19"/>
        </w:rPr>
        <w:t xml:space="preserve">Übertragbarkeit: </w:t>
      </w:r>
      <w:r>
        <w:rPr>
          <w:sz w:val="19"/>
        </w:rPr>
        <w:t>Remote-Monitoring-Technologie, aber Zentren überregional; Dekompensationserkennung relevant für deutsches DMP</w:t>
      </w:r>
    </w:p>
    <w:p>
      <w:r>
        <w:rPr>
          <w:color w:val="5A7D3A"/>
          <w:sz w:val="18"/>
        </w:rPr>
        <w:t>https://pubmed.ncbi.nlm.nih.gov/42670644/</w:t>
      </w:r>
    </w:p>
    <w:p>
      <w:pPr>
        <w:pStyle w:val="Heading1"/>
      </w:pPr>
      <w:r>
        <w:t>Aufgenommen am 13.09.2026</w:t>
      </w:r>
    </w:p>
    <w:p>
      <w:pPr>
        <w:pStyle w:val="Heading2"/>
      </w:pPr>
      <w:r>
        <w:t>P2Y₁₂-Hemmer vor Angiografie: Weniger STEMI, aber auch weniger Blutungen bei längeren Wartezeiten</w:t>
      </w:r>
    </w:p>
    <w:p>
      <w:r>
        <w:rPr>
          <w:i/>
          <w:color w:val="666666"/>
          <w:sz w:val="18"/>
        </w:rPr>
        <w:t>Hesse K et al.  ·  Open Heart  ·  12.09.2026  ·  PMID 42731862</w:t>
      </w:r>
    </w:p>
    <w:p>
      <w:r>
        <w:t>Vergleich zweier Strategien bei NSTE-ACS: Routinemäßige Gabe eines P2Y₁₂-Hemmers vor Herzkatheter versus Zurückhaltung bis zur Anatomiekenntnis im britischen Versorgungssystem mit längeren Wartezeiten (Median 3,6 Tage).</w:t>
      </w:r>
    </w:p>
    <w:p>
      <w:r>
        <w:rPr>
          <w:b/>
        </w:rPr>
        <w:t xml:space="preserve">Ergebnis: </w:t>
      </w:r>
      <w:r>
        <w:t>Bei Verzicht auf Vorbehandlung: In-hospital-STEMI stieg von 0,4% auf 1,7% (adjustierte OR 4,40; 95%-KI 1,78–13,3), aber actionable Blutungsereignisse sanken von 0,9% auf 0,2% (adjustierte OR 0,18; 95%-KI 0,03–0,70). Längere Wartezeiten verändern das Nutzen-Risiko-Verhältnis gegenüber den Leitlinien, die auf kürzeren Katheterwartezeiten basieren.</w:t>
      </w:r>
    </w:p>
    <w:p>
      <w:r>
        <w:rPr>
          <w:b/>
          <w:sz w:val="19"/>
        </w:rPr>
        <w:t xml:space="preserve">Übertragbarkeit: </w:t>
      </w:r>
      <w:r>
        <w:rPr>
          <w:sz w:val="19"/>
        </w:rPr>
        <w:t>UK-Klinikdaten mit wesentlich längeren Wartezeiten als in Deutschland üblich.</w:t>
      </w:r>
    </w:p>
    <w:p>
      <w:r>
        <w:rPr>
          <w:color w:val="5A7D3A"/>
          <w:sz w:val="18"/>
        </w:rPr>
        <w:t>https://pubmed.ncbi.nlm.nih.gov/42731862/</w:t>
      </w:r>
    </w:p>
    <w:p>
      <w:pPr>
        <w:pStyle w:val="Heading2"/>
      </w:pPr>
      <w:r>
        <w:t>HFpEF-Risikoscores für Primärversorgung in HIV-Hochprävalenzregion anwendbar</w:t>
      </w:r>
    </w:p>
    <w:p>
      <w:r>
        <w:rPr>
          <w:i/>
          <w:color w:val="666666"/>
          <w:sz w:val="18"/>
        </w:rPr>
        <w:t>Honwana F et al.  ·  Open Heart  ·  12.09.2026  ·  PMID 42731860</w:t>
      </w:r>
    </w:p>
    <w:p>
      <w:r>
        <w:t>Entwicklung und interne Validierung eines nomogramm-basierten HFpEF-Vorhersage-Scores für die Primärversorgung in Südafrika unter Berücksichtigung HIV-Status, klinischer Faktoren, BNP und EKG.</w:t>
      </w:r>
    </w:p>
    <w:p>
      <w:r>
        <w:rPr>
          <w:b/>
        </w:rPr>
        <w:t xml:space="preserve">Ergebnis: </w:t>
      </w:r>
      <w:r>
        <w:t>Nomogramm mit Alter, Geschlecht, HIV-Status, Rauchen, Hypertonie, BMI und BNP: Overfitting-korrigierte AUC 0,77 mit guter Kalibrierung. Von 1.508 Teilnehmern (77% Frauen, 42% adipös) erfüllten 7,8% HFpEF-Kriterien (118 Patienten; 8,4% bei HIV-positiv, 6,6% HIV-negativ).</w:t>
      </w:r>
    </w:p>
    <w:p>
      <w:r>
        <w:rPr>
          <w:b/>
          <w:sz w:val="19"/>
        </w:rPr>
        <w:t xml:space="preserve">Übertragbarkeit: </w:t>
      </w:r>
      <w:r>
        <w:rPr>
          <w:sz w:val="19"/>
        </w:rPr>
        <w:t>Südafrika; Score als praktisches Werkzeug für ressourcenlimitierte Primärsettings adaptierbar.</w:t>
      </w:r>
    </w:p>
    <w:p>
      <w:r>
        <w:rPr>
          <w:color w:val="5A7D3A"/>
          <w:sz w:val="18"/>
        </w:rPr>
        <w:t>https://pubmed.ncbi.nlm.nih.gov/42731860/</w:t>
      </w:r>
    </w:p>
    <w:p>
      <w:pPr>
        <w:pStyle w:val="Heading2"/>
      </w:pPr>
      <w:r>
        <w:t>Ultraschnelle ambulante TAVI bei akutem aortalen Klappensyndrom spart Krankenhausbetten</w:t>
      </w:r>
    </w:p>
    <w:p>
      <w:r>
        <w:rPr>
          <w:i/>
          <w:color w:val="666666"/>
          <w:sz w:val="18"/>
        </w:rPr>
        <w:t>Vibhishanan J et al.  ·  Open Heart  ·  12.09.2026  ·  PMID 42731859</w:t>
      </w:r>
    </w:p>
    <w:p>
      <w:r>
        <w:t>Evaluierung eines neuen Versorgungspfads für ausgewählte, stabilisierte Patienten mit akutem aortalen Stenose-Syndroms (AVS) und geplantem TAVI-Einsatz: ambulante Vorbereitung mit Entlassung nach initialem Assessment vs. stationärer Weg in einer britischen Universitätsklinik.</w:t>
      </w:r>
    </w:p>
    <w:p>
      <w:r>
        <w:rPr>
          <w:b/>
        </w:rPr>
        <w:t xml:space="preserve">Ergebnis: </w:t>
      </w:r>
      <w:r>
        <w:t>Von 105 für den ambulanten Weg evaluierten Patienten wurden 58 (55,2%) ambulant und 47 (44,8%) stationär behandelt. Ambulante Gruppe: mediane Gesamtkrankenhaus-Liegedauer 12 Tage (IQR 7–17) vs. stationär 20 Tage (IQR 15–32; p&lt;0,0001), Einsparung von 210 Bettentagen. Zeit von Zuweisung bis TAVI unterschied sich nicht (ambulant 15 vs. stationär 14 Tage; p=0,22). Primärer Sicherheitsendpunkt (Tod oder akute Dekompensation vor TAVI) war gleich (ambulant 6,9% vs. stationär 6,4%; HR 0,97; 95%-KI 0,22–4,34; p=0,97).</w:t>
      </w:r>
    </w:p>
    <w:p>
      <w:r>
        <w:rPr>
          <w:b/>
          <w:sz w:val="19"/>
        </w:rPr>
        <w:t xml:space="preserve">Übertragbarkeit: </w:t>
      </w:r>
      <w:r>
        <w:rPr>
          <w:sz w:val="19"/>
        </w:rPr>
        <w:t>UK-Klinik; Konzept auf vergleichbare europäische Zentren übertragbar, bedarf Validierung.</w:t>
      </w:r>
    </w:p>
    <w:p>
      <w:r>
        <w:rPr>
          <w:color w:val="5A7D3A"/>
          <w:sz w:val="18"/>
        </w:rPr>
        <w:t>https://pubmed.ncbi.nlm.nih.gov/42731859/</w:t>
      </w:r>
    </w:p>
    <w:p>
      <w:pPr>
        <w:pStyle w:val="Heading2"/>
      </w:pPr>
      <w:r>
        <w:t>Supplementale Sauerstoffgabe bei akuter Herzinsuffizienz: Weniger ist mehr</w:t>
      </w:r>
    </w:p>
    <w:p>
      <w:r>
        <w:rPr>
          <w:i/>
          <w:color w:val="666666"/>
          <w:sz w:val="18"/>
        </w:rPr>
        <w:t>Galluzzo A et al.  ·  Eur Heart J Acute Cardiovasc Care  ·  08.09.2026  ·  PMID 42708882</w:t>
      </w:r>
    </w:p>
    <w:p>
      <w:r>
        <w:t>Editorium zu Evidenz über Sauerstoff in akuter Herzinsuffizienz; Diskussion, ob weniger Sauerstoff bessere Outcomes ermöglicht.</w:t>
      </w:r>
    </w:p>
    <w:p>
      <w:r>
        <w:rPr>
          <w:b/>
        </w:rPr>
        <w:t xml:space="preserve">Ergebnis: </w:t>
      </w:r>
      <w:r>
        <w:t>Kein konkretes Ergebnis im Abstract berichtet; nur Ankündigung des Themas ohne quantitative Befunde oder definitive Empfehlungen.</w:t>
      </w:r>
    </w:p>
    <w:p>
      <w:r>
        <w:rPr>
          <w:b/>
          <w:sz w:val="19"/>
        </w:rPr>
        <w:t xml:space="preserve">Übertragbarkeit: </w:t>
      </w:r>
      <w:r>
        <w:rPr>
          <w:sz w:val="19"/>
        </w:rPr>
        <w:t>Erfüllt Auswahlkriterium nicht; kein benennbares Ergebnis.</w:t>
      </w:r>
    </w:p>
    <w:p>
      <w:r>
        <w:rPr>
          <w:color w:val="5A7D3A"/>
          <w:sz w:val="18"/>
        </w:rPr>
        <w:t>https://pubmed.ncbi.nlm.nih.gov/42708882/</w:t>
      </w:r>
    </w:p>
    <w:p>
      <w:pPr>
        <w:pStyle w:val="Heading2"/>
      </w:pPr>
      <w:r>
        <w:t>ASTA-Score beste psychometrische Validierung unter AF-Symptom-Schwere-Messgeräten</w:t>
      </w:r>
    </w:p>
    <w:p>
      <w:r>
        <w:rPr>
          <w:i/>
          <w:color w:val="666666"/>
          <w:sz w:val="18"/>
        </w:rPr>
        <w:t>Ogendo JJ et al.  ·  Europace  ·  08.09.2026  ·  PMID 42706219</w:t>
      </w:r>
    </w:p>
    <w:p>
      <w:r>
        <w:t>Systematischer Review und COSMIN-Bewertung von Patient-Reported Outcome Measures (PROMs) für Vorhofflimmern; Evaluation von sechs Symptom-Schwere-Instrumenten (AFSymp, AFS/B, AFSS, ASTA, AF6, SCL) und deren Messeigenschaften.</w:t>
      </w:r>
    </w:p>
    <w:p>
      <w:r>
        <w:rPr>
          <w:b/>
        </w:rPr>
        <w:t xml:space="preserve">Ergebnis: </w:t>
      </w:r>
      <w:r>
        <w:t>709 Publikationen identifizierten 101 PROMs; sechs Symptom-Schwere-Scores wurden psychometrisch bewertet. ASTA zeigte die meiste Validierungseviden und größte Sicherheit bei Inhaltsvalidität sowie interne Konsistenz. COSMIN-Bewertungen enthüllten kritische Lücken in Responsiveness und kulturübergreifender Validität. Empfehlung: COSMIN-konforme Validierung aller PROMs vor Routineintegration in AF-Versorgung.</w:t>
      </w:r>
    </w:p>
    <w:p>
      <w:r>
        <w:rPr>
          <w:b/>
          <w:sz w:val="19"/>
        </w:rPr>
        <w:t xml:space="preserve">Übertragbarkeit: </w:t>
      </w:r>
      <w:r>
        <w:rPr>
          <w:sz w:val="19"/>
        </w:rPr>
        <w:t>Europa; Systematik übertragbar auf deutsches Setting für Versorgungsqualität und Patient-Reported Outcomes.</w:t>
      </w:r>
    </w:p>
    <w:p>
      <w:r>
        <w:rPr>
          <w:color w:val="5A7D3A"/>
          <w:sz w:val="18"/>
        </w:rPr>
        <w:t>https://pubmed.ncbi.nlm.nih.gov/42706219/</w:t>
      </w:r>
    </w:p>
    <w:p>
      <w:pPr>
        <w:pStyle w:val="Heading2"/>
      </w:pPr>
      <w:r>
        <w:t>Erhöhte TMAO und PAGln prognostizieren Sterblichkeit über HFrEF und HFpEF hinweg</w:t>
      </w:r>
    </w:p>
    <w:p>
      <w:r>
        <w:rPr>
          <w:i/>
          <w:color w:val="666666"/>
          <w:sz w:val="18"/>
        </w:rPr>
        <w:t>Koeckerling D et al.  ·  Eur J Heart Fail  ·  01.09.2026  ·  PMID 42677938</w:t>
      </w:r>
    </w:p>
    <w:p>
      <w:r>
        <w:t>Systematischer Review und Meta-Analyse zur prognostischen Assoziation von Darm-Mikrobiom-Metaboliten (TMAO, Phenylacetylglutamin) mit Herzinsuffizienz-Outcomes; Pooling von 20 Studien mit 17.715 Patienten.</w:t>
      </w:r>
    </w:p>
    <w:p>
      <w:r>
        <w:rPr>
          <w:b/>
        </w:rPr>
        <w:t xml:space="preserve">Ergebnis: </w:t>
      </w:r>
      <w:r>
        <w:t>Erhöhtes Trimethylamin-N-oxid (TMAO) assoziiert mit Gesamtsterblichkeit (HR 1,72; 95%-KI 1,42–2,08) und Major Adverse Cardiac Events (HR 1,60; 95%-KI 1,44–1,78) über HFrEF (HR 2,17; 95%-KI 1,68–2,81) und HFpEF (HR 1,55; 95%-KI 0,92–2,61) hinweg. Erhöhtes Phenylacetylglutamin (PAGln) ebenfalls mit Mortalität (HR 1,60; 95%-KI 1,33–1,94) und MACE (HR 1,65; 95%-KI 1,37–1,99) assoziiert. Unterschiede durch Alter, NT-proBNP, Nierenfunktion oder BMI nicht signifikant.</w:t>
      </w:r>
    </w:p>
    <w:p>
      <w:r>
        <w:rPr>
          <w:b/>
          <w:sz w:val="19"/>
        </w:rPr>
        <w:t xml:space="preserve">Übertragbarkeit: </w:t>
      </w:r>
      <w:r>
        <w:rPr>
          <w:sz w:val="19"/>
        </w:rPr>
        <w:t>Meta-Analyse europäischer und internationaler Kohorten; Biomarker auf Routinetauglichkeit zu prüfen.</w:t>
      </w:r>
    </w:p>
    <w:p>
      <w:r>
        <w:rPr>
          <w:color w:val="5A7D3A"/>
          <w:sz w:val="18"/>
        </w:rPr>
        <w:t>https://pubmed.ncbi.nlm.nih.gov/42677938/</w:t>
      </w:r>
    </w:p>
    <w:p>
      <w:pPr>
        <w:pStyle w:val="Heading2"/>
      </w:pPr>
      <w:r>
        <w:t>Schrittmacher mit AV-Knoten-Ablation besser als PVI bei älteren Patienten mit persistentem Vorhofflimmern</w:t>
      </w:r>
    </w:p>
    <w:p>
      <w:r>
        <w:rPr>
          <w:i/>
          <w:color w:val="666666"/>
          <w:sz w:val="18"/>
        </w:rPr>
        <w:t>Boehmer AA et al.  ·  Eur Heart J  ·  31.08.2026  ·  PMID 42671117</w:t>
      </w:r>
    </w:p>
    <w:p>
      <w:r>
        <w:t>Randomisierte Studie (ABLATE versus PACE) in Deutschland und Österreich: Pacemaker-Implantation mit Atrioventricular-Node-Ablation (PM+AVNA) vs. Pulmonalvenenisolation (PVI) bei älteren Patienten (≥75 Jahre) mit symptomatischem persistentem Vorhofflimmern.</w:t>
      </w:r>
    </w:p>
    <w:p>
      <w:r>
        <w:rPr>
          <w:b/>
        </w:rPr>
        <w:t xml:space="preserve">Ergebnis: </w:t>
      </w:r>
      <w:r>
        <w:t>Bei 12-Monaten-Follow-up: Primärer Endpunkt (Hospitalisierung wegen Arrhythmie, Herzinsuffizienz, elektrische Kardioversion oder CRT-Upgrade) trat bei 24% (PM+AVNA) vs. 46% (PVI) auf (Hazard Ratio 0,45; 95%-KI 0,27–0,74; p=0,002). PM+AVNA zeigte weniger AF-Hospitalisierungen und Kardioversionen, aber mehr HF-Hospitalisierungen. Mortalität und Lebensqualität unterschieden sich nicht.</w:t>
      </w:r>
    </w:p>
    <w:p>
      <w:r>
        <w:rPr>
          <w:b/>
          <w:sz w:val="19"/>
        </w:rPr>
        <w:t xml:space="preserve">Übertragbarkeit: </w:t>
      </w:r>
      <w:r>
        <w:rPr>
          <w:sz w:val="19"/>
        </w:rPr>
        <w:t>Deutsches und österreichisches Gesundheitssystem, direkt übertragbar auf Altersstruktur und Leitlinien.</w:t>
      </w:r>
    </w:p>
    <w:p>
      <w:r>
        <w:rPr>
          <w:color w:val="5A7D3A"/>
          <w:sz w:val="18"/>
        </w:rPr>
        <w:t>https://pubmed.ncbi.nlm.nih.gov/42671117/</w:t>
      </w:r>
    </w:p>
    <w:p>
      <w:pPr>
        <w:pStyle w:val="Heading1"/>
      </w:pPr>
      <w:r>
        <w:t>Aufgenommen am 11.09.2026</w:t>
      </w:r>
    </w:p>
    <w:p>
      <w:pPr>
        <w:pStyle w:val="Heading2"/>
      </w:pPr>
      <w:r>
        <w:t>Nur Vorhofflimmern ist nach STEMI mit reduzierter EF unabhängig mit erhöhter Mortalität assoziiert; Kammertachykardien sind seltener als erwartet</w:t>
      </w:r>
    </w:p>
    <w:p>
      <w:r>
        <w:rPr>
          <w:i/>
          <w:color w:val="666666"/>
          <w:sz w:val="18"/>
        </w:rPr>
        <w:t>Jiménez-Candil J et al.  ·  JACC Clin Electrophysiol  ·  26.08.2026  ·  PMID 42720633</w:t>
      </w:r>
    </w:p>
    <w:p>
      <w:r>
        <w:t>Multizenterstudie (TeVeO-Register) an 224 STEMI-Überlebenden mit EF ≤40 % am Tag ≥4, die kontinuierliches implantierbares Monitoring nach Entlassung mit Remote-Telemetrie über Median 3,1 Jahre durchgeführt hat.</w:t>
      </w:r>
    </w:p>
    <w:p>
      <w:r>
        <w:rPr>
          <w:b/>
        </w:rPr>
        <w:t xml:space="preserve">Ergebnis: </w:t>
      </w:r>
      <w:r>
        <w:t>Mortalität 3,7 pro 100 Patientenjahre; ohne plötzliche arrhythmische Todesfälle. Bei 6 Monaten ICD bei 25 (11 %) implantiert. Während Follow-up 119 (53 %) ≥1 ambulante Arrhythmie: 39 (17 %) Vorhofflimmern, 35 (16 %) NSVT, 33 (15 %) Pausen &gt;3 sec, 5 (2,2 %) nachgewiesene VT/ICD-Therapie. Nur Vorhofflimmern unabhängig mit erhöhter Mortalität assoziiert (adj. HR=2,5; p=0,04). NSVT-Inzidenz 5,4/100 PY, VT/ICD-Therapie 0,9/100 PY.</w:t>
      </w:r>
    </w:p>
    <w:p>
      <w:r>
        <w:rPr>
          <w:b/>
          <w:sz w:val="19"/>
        </w:rPr>
        <w:t xml:space="preserve">Übertragbarkeit: </w:t>
      </w:r>
      <w:r>
        <w:rPr>
          <w:sz w:val="19"/>
        </w:rPr>
        <w:t>Spanische Multizenterstudie mit etabliertem Register; Real-World-Evidenz zum Post-STEMI-Arrhythmie-Phänotyp.</w:t>
      </w:r>
    </w:p>
    <w:p>
      <w:r>
        <w:rPr>
          <w:color w:val="5A7D3A"/>
          <w:sz w:val="18"/>
        </w:rPr>
        <w:t>https://pubmed.ncbi.nlm.nih.gov/42720633/</w:t>
      </w:r>
    </w:p>
    <w:p>
      <w:pPr>
        <w:pStyle w:val="Heading2"/>
      </w:pPr>
      <w:r>
        <w:t>Stressechokardiographie mit LA-Strain verbessert HFpEF-Diagnose und reduziert Invasivtestungen um etwa 30 Prozent</w:t>
      </w:r>
    </w:p>
    <w:p>
      <w:r>
        <w:rPr>
          <w:i/>
          <w:color w:val="666666"/>
          <w:sz w:val="18"/>
        </w:rPr>
        <w:t>Harada T et al.  ·  Eur Heart J  ·  10.09.2026  ·  PMID 42720269</w:t>
      </w:r>
    </w:p>
    <w:p>
      <w:r>
        <w:t>Multizenterstudie an 482 Patienten mit Dyspnoe unklarer Ursache mit invasivem Belastungstest und simultaner Echokardiographie zur Validierung eines verbesserten diagnostischen Algorithmus für HFpEF mittels Stressecho und Vorhofbelastungszechanismus.</w:t>
      </w:r>
    </w:p>
    <w:p>
      <w:r>
        <w:rPr>
          <w:b/>
        </w:rPr>
        <w:t xml:space="preserve">Ergebnis: </w:t>
      </w:r>
      <w:r>
        <w:t>Aktuelle Diagnostik-Scores (H2FPEF, HFA-PEFF) zeigten nur 55–60 % Sensitivität. Mit optimierten Cut-Points für E/e' und LA-Reservoir-Strain (Systole/E/e') bei Ruhe konnten sichere Klassifikationen auf 70 % ausgeweitet werden, während invasive Tests von ~60 % auf ~30 % reduziert wurden (Sensitivität 95–99 % unter definitiv Klassifizierten). Befunde in internationalem Validierungskohorte bestätigt.</w:t>
      </w:r>
    </w:p>
    <w:p>
      <w:r>
        <w:rPr>
          <w:b/>
          <w:sz w:val="19"/>
        </w:rPr>
        <w:t xml:space="preserve">Übertragbarkeit: </w:t>
      </w:r>
      <w:r>
        <w:rPr>
          <w:sz w:val="19"/>
        </w:rPr>
        <w:t>USA-Studie mit internationalem Validierungskohorte; Verfahrensoptimierung übertragbar auf Chest-Pain-Units in Deutschland.</w:t>
      </w:r>
    </w:p>
    <w:p>
      <w:r>
        <w:rPr>
          <w:color w:val="5A7D3A"/>
          <w:sz w:val="18"/>
        </w:rPr>
        <w:t>https://pubmed.ncbi.nlm.nih.gov/42720269/</w:t>
      </w:r>
    </w:p>
    <w:p>
      <w:pPr>
        <w:pStyle w:val="Heading2"/>
      </w:pPr>
      <w:r>
        <w:t>Myeloperoxidase-Inhibitor Mitiperstat verbessert nicht Symptome oder Trainingsleistung bei Herzinsuffizienz mit erhaltener Ejektionsfraktion</w:t>
      </w:r>
    </w:p>
    <w:p>
      <w:r>
        <w:rPr>
          <w:i/>
          <w:color w:val="666666"/>
          <w:sz w:val="18"/>
        </w:rPr>
        <w:t>Lund LH et al.  ·  Nat Med  ·  09.09.2026  ·  PMID 42717033</w:t>
      </w:r>
    </w:p>
    <w:p>
      <w:r>
        <w:t>Randomisierte, doppelblinde Phase-2b-Studie mit 711 Patienten mit Herzinsuffizienz und EF &gt;40 %, die untersucht hat, ob der MPO-Inhibitor Mitiperstat über 48 Wochen Symptome und Trainingskapazität verbessert.</w:t>
      </w:r>
    </w:p>
    <w:p>
      <w:r>
        <w:rPr>
          <w:b/>
        </w:rPr>
        <w:t xml:space="preserve">Ergebnis: </w:t>
      </w:r>
      <w:r>
        <w:t>Mitiperstat (gepoolte Dosen) verschlechterte nicht das KCCQ-Total Symptom Score (Placebo-korrigierte Differenz −1,4 Punkte, 95%-KI −3,9–1,2; p=0,29) oder die 6-Minuten-Gehstrecke (3,8 m, 95%-KI −3,1–10,8; p=0,28). Die Therapie war sicher, aber wirkungslos für HFpEF/HFmrEF im chronischen Stadium.</w:t>
      </w:r>
    </w:p>
    <w:p>
      <w:r>
        <w:rPr>
          <w:b/>
          <w:sz w:val="19"/>
        </w:rPr>
        <w:t xml:space="preserve">Übertragbarkeit: </w:t>
      </w:r>
      <w:r>
        <w:rPr>
          <w:sz w:val="19"/>
        </w:rPr>
        <w:t>Multizentrische europäische und globale Studie; negative Ergebnisse für Leitlinienentscheidungen relevant.</w:t>
      </w:r>
    </w:p>
    <w:p>
      <w:r>
        <w:rPr>
          <w:color w:val="5A7D3A"/>
          <w:sz w:val="18"/>
        </w:rPr>
        <w:t>https://pubmed.ncbi.nlm.nih.gov/42717033/</w:t>
      </w:r>
    </w:p>
    <w:p>
      <w:pPr>
        <w:pStyle w:val="Heading2"/>
      </w:pPr>
      <w:r>
        <w:t>Herzinsuffizienz jeder EF-Kategorie ist mit kognitiven Beeinträchtigungen assoziiert, am stärksten bei reduzierter EF</w:t>
      </w:r>
    </w:p>
    <w:p>
      <w:r>
        <w:rPr>
          <w:i/>
          <w:color w:val="666666"/>
          <w:sz w:val="18"/>
        </w:rPr>
        <w:t>Satyadev N et al.  ·  J Am Heart Assoc  ·  09.09.2026  ·  PMID 42714589</w:t>
      </w:r>
    </w:p>
    <w:p>
      <w:r>
        <w:t>Querschnittstudie von 1.592 Patienten (mittleres Alter 75,7 Jahre) aus einem US-Gesundheitssystem, die Zusammenhänge zwischen HF-Phenotypen (nach EF-Kategorien) und kognitiven Funktionen (Montreal Cognitive Assessment) untersucht hat.</w:t>
      </w:r>
    </w:p>
    <w:p>
      <w:r>
        <w:rPr>
          <w:b/>
        </w:rPr>
        <w:t xml:space="preserve">Ergebnis: </w:t>
      </w:r>
      <w:r>
        <w:t>Niedrigere EF korrelierte mit schlechterer kognitiver Leistung (bereinigt β=0,033, p=0,013). HFrEF und HFpEF zeigten signifikant niedrigere MoCA-Werte als keine HF (HFrEF 17,6±6,2 vs. keine HF 19,9±6,0, p&lt;0,001). Moderate bis schwere kognitive Beeinträchtigung war höchst bei HFrEF (43,3 %), gefolgt von HFpEF (34,4 %).</w:t>
      </w:r>
    </w:p>
    <w:p>
      <w:r>
        <w:rPr>
          <w:b/>
          <w:sz w:val="19"/>
        </w:rPr>
        <w:t xml:space="preserve">Übertragbarkeit: </w:t>
      </w:r>
      <w:r>
        <w:rPr>
          <w:sz w:val="19"/>
        </w:rPr>
        <w:t>USA-Daten; Sekundärbefund zum kognitiven Risiko bei HF relevant für deutsche Versorgungsplanung und Geriatrie.</w:t>
      </w:r>
    </w:p>
    <w:p>
      <w:r>
        <w:rPr>
          <w:color w:val="5A7D3A"/>
          <w:sz w:val="18"/>
        </w:rPr>
        <w:t>https://pubmed.ncbi.nlm.nih.gov/42714589/</w:t>
      </w:r>
    </w:p>
    <w:p>
      <w:pPr>
        <w:pStyle w:val="Heading2"/>
      </w:pPr>
      <w:r>
        <w:t>Intermittierende Hypoxie-Hyperoxie-Exposition ist in HF-Patienten sicher und führt zu Verbesserungen der Blutdruckregulation und Körperzusammensetzung</w:t>
      </w:r>
    </w:p>
    <w:p>
      <w:r>
        <w:rPr>
          <w:i/>
          <w:color w:val="666666"/>
          <w:sz w:val="18"/>
        </w:rPr>
        <w:t>Bekfani T et al.  ·  ESC Heart Fail  ·  04.09.2026  ·  PMID 42695491</w:t>
      </w:r>
    </w:p>
    <w:p>
      <w:r>
        <w:t>Pilot-Feasibility-Studie mit 9 HF-Patienten (5 HFpEF, 4 HFrEF), die eine 10-wöchige individualisierte Intervention mit wiederholtem Höhentrainingszyklus (IHHE) hinsichtlich Sicherheit und Wirksamkeit auf Trainingskapazität und Lebensqualität untersucht hat.</w:t>
      </w:r>
    </w:p>
    <w:p>
      <w:r>
        <w:rPr>
          <w:b/>
        </w:rPr>
        <w:t xml:space="preserve">Ergebnis: </w:t>
      </w:r>
      <w:r>
        <w:t>IHHE war sicher und gut verträglich (Adhärenz 95 %), keine unerwünschten Ereignisse. Signifikante Reduktionen des systolischen (β=−5,95 mmHg) und diastolischen Blutdrucks (β=−3,74 mmHg) über 10 Wochen (p&lt;0,001). Fettmassenindex sank (9,32 vs. 8,92 kg/m², p=0,031), viszerales Fett sank (127,6 vs. 121,9 cm², p=0,005), numerische Trends zu besserem Peak VO₂ (+300 mL/min) und 6MWT (+22 m), keine QoL-Verbesserung beobachtet.</w:t>
      </w:r>
    </w:p>
    <w:p>
      <w:r>
        <w:rPr>
          <w:b/>
          <w:sz w:val="19"/>
        </w:rPr>
        <w:t xml:space="preserve">Übertragbarkeit: </w:t>
      </w:r>
      <w:r>
        <w:rPr>
          <w:sz w:val="19"/>
        </w:rPr>
        <w:t>Deutschland: Universitätsklinik Magdeburg mit europäischen Zentren; Machbarkeitsstudie für RCT-Vorbereitung.</w:t>
      </w:r>
    </w:p>
    <w:p>
      <w:r>
        <w:rPr>
          <w:color w:val="5A7D3A"/>
          <w:sz w:val="18"/>
        </w:rPr>
        <w:t>https://pubmed.ncbi.nlm.nih.gov/42695491/</w:t>
      </w:r>
    </w:p>
    <w:p>
      <w:pPr>
        <w:pStyle w:val="Heading2"/>
      </w:pPr>
      <w:r>
        <w:t>Kontinuierlich erhöhte Ketonkörper im Plasma sind mit ungünstigen Ereignissen in Herzinsuffizienz verbunden</w:t>
      </w:r>
    </w:p>
    <w:p>
      <w:r>
        <w:rPr>
          <w:i/>
          <w:color w:val="666666"/>
          <w:sz w:val="18"/>
        </w:rPr>
        <w:t>Palm CL et al.  ·  Clin Res Cardiol  ·  31.08.2026  ·  PMID 42671454</w:t>
      </w:r>
    </w:p>
    <w:p>
      <w:r>
        <w:t>Prospektive Kohortenstudie (TRIUMPH und Bio-SHiFT) mit 467 und 397 HF-Patienten, die durch Joint-Modeling wiederholte Plasma-Ketonkörper-Messungen und Zusammenhänge mit Tod/HF-Rehospitalisierung analysiert hat.</w:t>
      </w:r>
    </w:p>
    <w:p>
      <w:r>
        <w:rPr>
          <w:b/>
        </w:rPr>
        <w:t xml:space="preserve">Ergebnis: </w:t>
      </w:r>
      <w:r>
        <w:t>TRIUMPH: bei Verdopplung der Gesamt-Ketonkörper HR 2,10 (95%-KI 1,27–3,71) für kombiniertes Ereignis nach Anpassung. Bio-SHiFT: HR 5,36 (2,18–14,0) für Ketonkörper bei Studienendpunkt. Patienten mit Ereignissen zeigten durchgehend höhere Ketonkörper, was anhaltenden metabolischen Stress widerspiegelt.</w:t>
      </w:r>
    </w:p>
    <w:p>
      <w:r>
        <w:rPr>
          <w:b/>
          <w:sz w:val="19"/>
        </w:rPr>
        <w:t xml:space="preserve">Übertragbarkeit: </w:t>
      </w:r>
      <w:r>
        <w:rPr>
          <w:sz w:val="19"/>
        </w:rPr>
        <w:t>Niederländisch-deutsche Studienzentren; vergleichbar mit deutschen Kliniken in Struktur und Verfolgung.</w:t>
      </w:r>
    </w:p>
    <w:p>
      <w:r>
        <w:rPr>
          <w:color w:val="5A7D3A"/>
          <w:sz w:val="18"/>
        </w:rPr>
        <w:t>https://pubmed.ncbi.nlm.nih.gov/42671454/</w:t>
      </w:r>
    </w:p>
    <w:p>
      <w:pPr>
        <w:pStyle w:val="Heading1"/>
      </w:pPr>
      <w:r>
        <w:t>Aufgenommen am 10.09.2026</w:t>
      </w:r>
    </w:p>
    <w:p>
      <w:pPr>
        <w:pStyle w:val="Heading2"/>
      </w:pPr>
      <w:r>
        <w:t>Selektive Adipokinmodulierung verbessert HFpEF-Parameter stärker als Hämodynamik-Targeting</w:t>
      </w:r>
    </w:p>
    <w:p>
      <w:r>
        <w:rPr>
          <w:i/>
          <w:color w:val="666666"/>
          <w:sz w:val="18"/>
        </w:rPr>
        <w:t>Packer M et al.  ·  JACC Heart Fail  ·  08.09.2026  ·  PMID 42714366</w:t>
      </w:r>
    </w:p>
    <w:p>
      <w:r>
        <w:t>Analyse von HFpEF-Patienten (veröffentlichtes abstract, methodische Fokusstudie), Vergleich der Effekte von gerichteter Adipokinmodulation versus traditioneller hämodynamischer Therapieoptimierung.</w:t>
      </w:r>
    </w:p>
    <w:p>
      <w:r>
        <w:rPr>
          <w:b/>
        </w:rPr>
        <w:t xml:space="preserve">Ergebnis: </w:t>
      </w:r>
      <w:r>
        <w:t>Gezielte Adipokinmodulation führte zu messbaren Verbesserungen der linksventrikulären Funktion und Struktur; Hämodynamik-only-Ansätze zeigten weniger Benefit. Hinweis auf Bedeutung inflammatorischer und metabolischer Pathways bei HFpEF.</w:t>
      </w:r>
    </w:p>
    <w:p>
      <w:r>
        <w:rPr>
          <w:b/>
          <w:sz w:val="19"/>
        </w:rPr>
        <w:t xml:space="preserve">Übertragbarkeit: </w:t>
      </w:r>
      <w:r>
        <w:rPr>
          <w:sz w:val="19"/>
        </w:rPr>
        <w:t>Mechanismusstudie, USA-Setting, aber adipokine Targets sind universell relevant.</w:t>
      </w:r>
    </w:p>
    <w:p>
      <w:r>
        <w:rPr>
          <w:color w:val="5A7D3A"/>
          <w:sz w:val="18"/>
        </w:rPr>
        <w:t>https://pubmed.ncbi.nlm.nih.gov/42714366/</w:t>
      </w:r>
    </w:p>
    <w:p>
      <w:pPr>
        <w:pStyle w:val="Heading2"/>
      </w:pPr>
      <w:r>
        <w:t>Kombinierte Pulmonalvenenisolation und Vorhofohrkauerstöpselung mit gepulstem Feldablation ist sicher und wirksam</w:t>
      </w:r>
    </w:p>
    <w:p>
      <w:r>
        <w:rPr>
          <w:i/>
          <w:color w:val="666666"/>
          <w:sz w:val="18"/>
        </w:rPr>
        <w:t>Heeger CH et al.  ·  Europace  ·  02.09.2026  ·  PMID 42713747</w:t>
      </w:r>
    </w:p>
    <w:p>
      <w:r>
        <w:t>Retrospektive multizentrische Registerstudie zu 155 Patienten aus neun europäischen Ländern, die sich einer gleichzeitigen gepulsten Feldablation-basierten Pulmonalvenenisolation und Vorhofohrkauerstöpselung unterzogen.</w:t>
      </w:r>
    </w:p>
    <w:p>
      <w:r>
        <w:rPr>
          <w:b/>
        </w:rPr>
        <w:t xml:space="preserve">Ergebnis: </w:t>
      </w:r>
      <w:r>
        <w:t>Primärer Wirksamkeitsendpunkt erreicht bei 97,4 % (PVI erfolgreich 100 %, Verschluss 97,4 %), ernsthafte Nebenwirkungen bei 1,9 %. Sinusrhythmus bei 78,1 % der Patienten mit Follow-up &gt;6 Monate. Eine seltene Komplikation; insgesamt ein praxisrelevantes, kombiniertes Verfahren.</w:t>
      </w:r>
    </w:p>
    <w:p>
      <w:r>
        <w:rPr>
          <w:b/>
          <w:sz w:val="19"/>
        </w:rPr>
        <w:t xml:space="preserve">Übertragbarkeit: </w:t>
      </w:r>
      <w:r>
        <w:rPr>
          <w:sz w:val="19"/>
        </w:rPr>
        <w:t>Multinationale europäische Zentren, deutsche Standorte beteiligt, vergleichbare Strukturen.</w:t>
      </w:r>
    </w:p>
    <w:p>
      <w:r>
        <w:rPr>
          <w:color w:val="5A7D3A"/>
          <w:sz w:val="18"/>
        </w:rPr>
        <w:t>https://pubmed.ncbi.nlm.nih.gov/42713747/</w:t>
      </w:r>
    </w:p>
    <w:p>
      <w:pPr>
        <w:pStyle w:val="Heading2"/>
      </w:pPr>
      <w:r>
        <w:t>LGE-Korridore und Hochrisiko-Genotyp vorhersagen Herzrhythmusstörungen in dilatativer Kardiomyopathie besser als EF ≤35 %</w:t>
      </w:r>
    </w:p>
    <w:p>
      <w:r>
        <w:rPr>
          <w:i/>
          <w:color w:val="666666"/>
          <w:sz w:val="18"/>
        </w:rPr>
        <w:t>Ramos-López N et al.  ·  Circulation  ·  08.09.2026  ·  PMID 42708210</w:t>
      </w:r>
    </w:p>
    <w:p>
      <w:r>
        <w:t>Retrospektive multizentrische europäische Studie mit 925 Patienten mit nichtischämischer Kardiomyopathie, Analyse von Spätanreicherungsmustern im MRT und genetischen Varianten zur Vorhersage maligner ventrikulärer Arrhythmien.</w:t>
      </w:r>
    </w:p>
    <w:p>
      <w:r>
        <w:rPr>
          <w:b/>
        </w:rPr>
        <w:t xml:space="preserve">Ergebnis: </w:t>
      </w:r>
      <w:r>
        <w:t>Nach Median-Follow-up 5,4 Jahre 95 Ereignisse (10,3 %). Pro Läsionskanal im LGE: Subdistribution Hazard Ratio 1,25 (95 % CI 1,11–1,42; p&lt;0,001). Hochrisikogenotpyen: SHR 2,28 (95 % CI 1,32–3,96; p=0,003). Optimales Cutoff ≥4 Korridore. Fünf-Jahres-C-Index 0,72 vs. 0,57 (EF ≤35 %-Klassifikation).</w:t>
      </w:r>
    </w:p>
    <w:p>
      <w:r>
        <w:rPr>
          <w:b/>
          <w:sz w:val="19"/>
        </w:rPr>
        <w:t xml:space="preserve">Übertragbarkeit: </w:t>
      </w:r>
      <w:r>
        <w:rPr>
          <w:sz w:val="19"/>
        </w:rPr>
        <w:t>22 europäische Zentren, Europa-weite Kooperation, aber spezialisierte CMR/Genetik-Expertise erforderlich.</w:t>
      </w:r>
    </w:p>
    <w:p>
      <w:r>
        <w:rPr>
          <w:color w:val="5A7D3A"/>
          <w:sz w:val="18"/>
        </w:rPr>
        <w:t>https://pubmed.ncbi.nlm.nih.gov/42708210/</w:t>
      </w:r>
    </w:p>
    <w:p>
      <w:pPr>
        <w:pStyle w:val="Heading2"/>
      </w:pPr>
      <w:r>
        <w:t>Lipidsenker-Therapieintensivierung würde in Dänemark 589 Schlaganfälle jährlich verhindern</w:t>
      </w:r>
    </w:p>
    <w:p>
      <w:r>
        <w:rPr>
          <w:i/>
          <w:color w:val="666666"/>
          <w:sz w:val="18"/>
        </w:rPr>
        <w:t>Mohamed AA et al.  ·  Open Heart  ·  07.09.2026  ·  PMID 42705842</w:t>
      </w:r>
    </w:p>
    <w:p>
      <w:r>
        <w:t>Landesweite dänische Kohortenstudie mit 487.962 Patienten mit hohem oder sehr hohem Atheroskleroserisiko, Messung der LDL-Cholesterin-Zielwert-Erreichung und Modellierung der Auswirkungen von Leitlinienimplementierung.</w:t>
      </w:r>
    </w:p>
    <w:p>
      <w:r>
        <w:rPr>
          <w:b/>
        </w:rPr>
        <w:t xml:space="preserve">Ergebnis: </w:t>
      </w:r>
      <w:r>
        <w:t>Aktuelle Zielerreichung Primärprävention 39,8 % (dänisch) bzw. 15,1 % (europäisch), Sekundärprävention 18,8 %. Mit optimaler Umsetzung Steigerung auf 91,9 % (dänisch) bzw. 75,8 % (europäisch). Implementierung würde 589 Schlaganfälle, 491 Herzinfarkte, 581 Revaskularisationen, 196 kardiovaskuläre Todesfälle jährlich verhindern; 15,8 Mio. € Kosteneinsparung.</w:t>
      </w:r>
    </w:p>
    <w:p>
      <w:r>
        <w:rPr>
          <w:b/>
          <w:sz w:val="19"/>
        </w:rPr>
        <w:t xml:space="preserve">Übertragbarkeit: </w:t>
      </w:r>
      <w:r>
        <w:rPr>
          <w:sz w:val="19"/>
        </w:rPr>
        <w:t>Dänemark, vergleichbares nordeuropäisches Versicherungssystem, aber restriktivere PCSK9-Inhibitor-Erstattung.</w:t>
      </w:r>
    </w:p>
    <w:p>
      <w:r>
        <w:rPr>
          <w:color w:val="5A7D3A"/>
          <w:sz w:val="18"/>
        </w:rPr>
        <w:t>https://pubmed.ncbi.nlm.nih.gov/42705842/</w:t>
      </w:r>
    </w:p>
    <w:p>
      <w:pPr>
        <w:pStyle w:val="Heading2"/>
      </w:pPr>
      <w:r>
        <w:t>Temperaturextreme und Herzinsuffizienzeinweisungen in Schweden: Kältewellen erhöhen Risiko um 8,5 %</w:t>
      </w:r>
    </w:p>
    <w:p>
      <w:r>
        <w:rPr>
          <w:i/>
          <w:color w:val="666666"/>
          <w:sz w:val="18"/>
        </w:rPr>
        <w:t>Ni W et al.  ·  J Am Coll Cardiol  ·  01.09.2026  ·  PMID 42683967</w:t>
      </w:r>
    </w:p>
    <w:p>
      <w:r>
        <w:t>Bevölkerungsweite Fall-Crossover-Studie in Schweden mit 482.000 Herzinsuffizienzeinweisungen 2006–2021, Analyse der Assoziation mit Kältephasen und Hitzewellen.</w:t>
      </w:r>
    </w:p>
    <w:p>
      <w:r>
        <w:rPr>
          <w:b/>
        </w:rPr>
        <w:t xml:space="preserve">Ergebnis: </w:t>
      </w:r>
      <w:r>
        <w:t>Kältephasen/niedrigere Temperaturen (lag 2–6 Tage): OR 1,085 für kumulative Assoziation (95 % CI 1,042–1,129). Höhere Temperaturen (lag 0–3): OR 1,009 pro 10-Perzentil-Anstieg (95 % CI 1,006–1,013). Höhere Risiken verzögert bei Kälte, unmittelbar bei Hitze.</w:t>
      </w:r>
    </w:p>
    <w:p>
      <w:r>
        <w:rPr>
          <w:b/>
          <w:sz w:val="19"/>
        </w:rPr>
        <w:t xml:space="preserve">Übertragbarkeit: </w:t>
      </w:r>
      <w:r>
        <w:rPr>
          <w:sz w:val="19"/>
        </w:rPr>
        <w:t>Schweden, aber klimageografische Besonderheiten; Befund temperaturunabhängig übertragbar.</w:t>
      </w:r>
    </w:p>
    <w:p>
      <w:r>
        <w:rPr>
          <w:color w:val="5A7D3A"/>
          <w:sz w:val="18"/>
        </w:rPr>
        <w:t>https://pubmed.ncbi.nlm.nih.gov/42683967/</w:t>
      </w:r>
    </w:p>
    <w:p>
      <w:pPr>
        <w:pStyle w:val="Heading2"/>
      </w:pPr>
      <w:r>
        <w:t>Diabetische Kardiomyopathie: Expertenpapier zur Abgrenzung als eigenständige Erkrankung</w:t>
      </w:r>
    </w:p>
    <w:p>
      <w:r>
        <w:rPr>
          <w:i/>
          <w:color w:val="666666"/>
          <w:sz w:val="18"/>
        </w:rPr>
        <w:t>Seferovic P et al.  ·  Eur Heart J  ·  02.09.2026  ·  PMID 42681860</w:t>
      </w:r>
    </w:p>
    <w:p>
      <w:r>
        <w:t>Expertenkonsensus-Review zur Frage, ob diabetische Kardiomyopathie als eigenständiger Phänotyp zu definieren ist, mit Diskussion von pathophysiologischen Mechanismen und klinischen Implikationen.</w:t>
      </w:r>
    </w:p>
    <w:p>
      <w:r>
        <w:rPr>
          <w:b/>
        </w:rPr>
        <w:t xml:space="preserve">Ergebnis: </w:t>
      </w:r>
      <w:r>
        <w:t>Mehrheitliche Übereinkunft: Diabetische Kardiomyopathie ist ein eigenständiges Syndrom mit charakteristischen Muskel-, Stoffwechsel- und entzündlichen Merkmalen; Unterscheidung von rein ischämischer oder hypertensiver Kardiomyopathie gerechtfertigt. Empfehlung für zukünftige therapeutische Ansätze.</w:t>
      </w:r>
    </w:p>
    <w:p>
      <w:r>
        <w:rPr>
          <w:b/>
          <w:sz w:val="19"/>
        </w:rPr>
        <w:t xml:space="preserve">Übertragbarkeit: </w:t>
      </w:r>
      <w:r>
        <w:rPr>
          <w:sz w:val="19"/>
        </w:rPr>
        <w:t>Expertenkonsens international, Leitlinien-relevant für Diabetes-Kardiologie-Interface in Deutschland.</w:t>
      </w:r>
    </w:p>
    <w:p>
      <w:r>
        <w:rPr>
          <w:color w:val="5A7D3A"/>
          <w:sz w:val="18"/>
        </w:rPr>
        <w:t>https://pubmed.ncbi.nlm.nih.gov/42681860/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Kardiologie</dc:title>
  <dc:subject/>
  <dc:creator>Monitor Versorgungsforschung</dc:creator>
  <cp:keywords/>
  <dc:description>generated by python-docx</dc:description>
  <cp:lastModifiedBy/>
  <cp:revision>1</cp:revision>
  <dcterms:created xsi:type="dcterms:W3CDTF">2026-09-27T06:00:00Z</dcterms:created>
  <dcterms:modified xsi:type="dcterms:W3CDTF">2026-09-27T06:00:00Z</dcterms:modified>
  <cp:category/>
</cp:coreProperties>
</file>