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16.09.2026  |  2 Studien  |  kardio.m-vf.de</w:t>
      </w:r>
    </w:p>
    <w:p>
      <w:pPr>
        <w:pStyle w:val="Heading1"/>
      </w:pPr>
      <w:r>
        <w:t>Aufgenommen am 16.09.2026</w:t>
      </w:r>
    </w:p>
    <w:p>
      <w:pPr>
        <w:pStyle w:val="Heading2"/>
      </w:pPr>
      <w:r>
        <w:t>Künstliche Intelligenz und Herzmuskel-Phänotypen vorhersagen Myokardinfarkt-Risiko in der Langzeitbeobachtung</w:t>
      </w:r>
    </w:p>
    <w:p>
      <w:r>
        <w:rPr>
          <w:i/>
          <w:color w:val="666666"/>
          <w:sz w:val="18"/>
        </w:rPr>
        <w:t>Eur Heart J Cardiovasc Imaging  ·  2026  ·  PMID 42721291</w:t>
      </w:r>
    </w:p>
    <w:p>
      <w:r>
        <w:t>Post-hoc-Analyse der SCOT-HEART-Studie mit 1.736 Teilnehmern untersuchte, ob radiomische Phänotypen aus Herz-CTA das Langzeit-Risiko für Herzinfarkt (Median 8,6 Jahre Follow-up) vorhersagen über konventionelle Risikofaktoren hinaus.</w:t>
      </w:r>
    </w:p>
    <w:p>
      <w:r>
        <w:rPr>
          <w:b/>
        </w:rPr>
        <w:t xml:space="preserve">Ergebnis: </w:t>
      </w:r>
      <w:r>
        <w:t>82 von 1.736 Teilnehmern (4,7%) erlebten während Follow-up tödlichen oder nicht-tödlichen Myokardinfarkt. Radiomische Phänotypen waren assoziiert mit Alter, Geschlecht, Hypertension und Diabetes (p&lt;0,01). Integration radiomischer Merkmale in klinisches Modell verbesserte Diskrimination für zukünftige Myokardinfarkte (C-Index von 0,693 auf 0,722, Δ=0,029, p&lt;0,001) und Modell-Fit (Likelihood-Ratio-Test χ²=13,5, p=0,009).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Schottische Studie, vergleichbare europäische Gesundheitssysteme.</w:t>
      </w:r>
    </w:p>
    <w:p>
      <w:r>
        <w:rPr>
          <w:color w:val="5A7D3A"/>
          <w:sz w:val="18"/>
        </w:rPr>
        <w:t>https://pubmed.ncbi.nlm.nih.gov/42721291/</w:t>
      </w:r>
    </w:p>
    <w:p>
      <w:pPr>
        <w:pStyle w:val="Heading2"/>
      </w:pPr>
      <w:r>
        <w:t>LMNA-Genotyp und Vorhofflimmern-Risiko in genetischer Kardiomyopathie</w:t>
      </w:r>
    </w:p>
    <w:p>
      <w:r>
        <w:rPr>
          <w:i/>
          <w:color w:val="666666"/>
          <w:sz w:val="18"/>
        </w:rPr>
        <w:t>Circ Heart Fail  ·  2026  ·  PMID 42717878</w:t>
      </w:r>
    </w:p>
    <w:p>
      <w:r>
        <w:t>Beobachtungsstudie von 3.117 Patienten mit genetischer dilatativer Kardiomyopathie (DCM) aus der SHaRe-Registry untersuchte Prävalenz, Inzidenz und Prognosebedeutung von Vorhofflimmern nach Genotyp.</w:t>
      </w:r>
    </w:p>
    <w:p>
      <w:r>
        <w:rPr>
          <w:b/>
        </w:rPr>
        <w:t xml:space="preserve">Ergebnis: </w:t>
      </w:r>
      <w:r>
        <w:t>Von 2.491 AF-freien Patienten mit Follow-up entwickelten 312 (12,5%) während eines Medians von 4,5 Jahren Vorhofflimmern. Kumulative AF-Prävalenz betrug 23,6%. LMNA zeigte die höchste AF-Inzidenz (7,6 pro 100 Patientenjahre) und kumulative AF-Prävalenz (56,7%) und war die einzige Genotyp-Variable unabhängig assoziiert mit inzidentem AF (HR 5,52, 95% KI 3,84-7,95; p&lt;0,001). TTN hatte AF-Inzidenz von 2,1 pro 100 Patientenjahre. AF war unabhängig assoziiert mit erhöhtem Risiko für kombiniertes Endpunkt (HR 1,58, 95% KI 1,29-1,94; p&lt;0,001) einschließlich Herzinsuffizienz, ventrikuläre Arrhythmien und Gesamtsterblichkeit.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 mit niederländischen/europäischen Zentren, vergleichbar mit deutschen Versorgungssystemen.</w:t>
      </w:r>
    </w:p>
    <w:p>
      <w:r>
        <w:rPr>
          <w:color w:val="5A7D3A"/>
          <w:sz w:val="18"/>
        </w:rPr>
        <w:t>https://pubmed.ncbi.nlm.nih.gov/42717878/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2026-09-16T06:00:00Z</dcterms:created>
  <dcterms:modified xsi:type="dcterms:W3CDTF">2026-09-16T06:00:00Z</dcterms:modified>
  <cp:category/>
</cp:coreProperties>
</file>