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21.10.2026  |  6 Studien  |  kardio.m-vf.de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Schwere Trikuspidalinsuffizienz wird meist bei fortgeschrittener Rechtsherzinsuffizienz erkannt</w:t>
      </w:r>
    </w:p>
    <w:p>
      <w:r>
        <w:rPr>
          <w:i/>
          <w:color w:val="666666"/>
          <w:sz w:val="18"/>
        </w:rPr>
        <w:t>Fiore G et al.  ·  Int J Cardiol  ·  20.10.2026  ·  PMID 42901428</w:t>
      </w:r>
    </w:p>
    <w:p>
      <w:r>
        <w:t>Retrospektive Analyse von 625 Patienten mit erstmals diagnostizierter schwerer Trikuspidalinsuffizienz und Subgruppenanalyse von 310 mit vorherigem Echokardiogramm, um zu untersuchen, ob späte Erkennung oder frühe Krankheitsprogression den schlechten Phänotyp erklärt.</w:t>
      </w:r>
    </w:p>
    <w:p>
      <w:r>
        <w:rPr>
          <w:b/>
        </w:rPr>
        <w:t xml:space="preserve">Ergebnis: </w:t>
      </w:r>
      <w:r>
        <w:t>Bei Erstdiagnose schwerer TR zeigten 66,4% Rechtsherzinsuffizienz-Stadium 3 und 17,3% Stadium 4, nur 16,3% Stadium 1–2. Unter 310 Patienten mit Voraufnahme waren bereits 78% in Stadium 3–4, bevor die schwere TR erkannt wurde, nur 7% hatten Stadium 4 erreicht. Höhere RHF-Stadien korrelierten mit 2-Jahres-Mortalität.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Universitätsklinik, funktionelle TR überwiegt mit 85% der Fälle</w:t>
      </w:r>
    </w:p>
    <w:p>
      <w:r>
        <w:rPr>
          <w:color w:val="5A7D3A"/>
          <w:sz w:val="18"/>
        </w:rPr>
        <w:t>https://pubmed.ncbi.nlm.nih.gov/42901428/</w:t>
      </w:r>
    </w:p>
    <w:p>
      <w:pPr>
        <w:pStyle w:val="Heading2"/>
      </w:pPr>
      <w:r>
        <w:t>LGE-Dispersions-Mapping sagt Herzrhythmusstörungen nach Herzinfarkt voraus</w:t>
      </w:r>
    </w:p>
    <w:p>
      <w:r>
        <w:rPr>
          <w:i/>
          <w:color w:val="666666"/>
          <w:sz w:val="18"/>
        </w:rPr>
        <w:t>Licordari R et al.  ·  Int J Cardiol  ·  20.10.2026  ·  PMID 42901427</w:t>
      </w:r>
    </w:p>
    <w:p>
      <w:r>
        <w:t>Retrospektive Analyse von 364 Patienten mit Herzinfarkt in der Vorgeschichte, um zu prüfen, ob eine neue MRT-Messung (LGE-Dispersions-Score) das Risiko für plötzlichen Herztod, Kammerflimmern und ICD-Schocks vorhersagt.</w:t>
      </w:r>
    </w:p>
    <w:p>
      <w:r>
        <w:rPr>
          <w:b/>
        </w:rPr>
        <w:t xml:space="preserve">Ergebnis: </w:t>
      </w:r>
      <w:r>
        <w:t>Bei 42 arrhythmischen Ereignissen während 4 Jahren zeigte sich ein LGE-Dispersions-Score &gt;0,5 als unabhängiger Prädiktor (Hazard Ratio 1,16 pro 0,1-Punkte-Anstieg, 95%-KI 1,03–1,29; p=0,005). Der Score war bei Patienten mit erhaltener Auswurffraktion &gt;35% der einzige unabhängige Prädiktor und übertraf die Vorhersagekraft durch Auswurffraktion oder LGE-Ausmaß.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Universitätszentren, externe Validierung erforderlich vor klinischer Anwendung</w:t>
      </w:r>
    </w:p>
    <w:p>
      <w:r>
        <w:rPr>
          <w:color w:val="5A7D3A"/>
          <w:sz w:val="18"/>
        </w:rPr>
        <w:t>https://pubmed.ncbi.nlm.nih.gov/42901427/</w:t>
      </w:r>
    </w:p>
    <w:p>
      <w:pPr>
        <w:pStyle w:val="Heading2"/>
      </w:pPr>
      <w:r>
        <w:t>CD36-Genvariante trägt mehr zur dilatativen Kardiomyopathie bei Afrikanern bei als TTN-Mutationen</w:t>
      </w:r>
    </w:p>
    <w:p>
      <w:r>
        <w:rPr>
          <w:i/>
          <w:color w:val="666666"/>
          <w:sz w:val="18"/>
        </w:rPr>
        <w:t>Challa SP et al.  ·  JAMA  ·  19.10.2026  ·  PMID 42895716</w:t>
      </w:r>
    </w:p>
    <w:p>
      <w:r>
        <w:t>Genetische Assoziationsstudie in 4 US-Kohorten (n=82.623 afrikanische Abstammung, 1.316 Kardiomyopathie-Fälle) zur Bestimmung des Beitrags des CD36-Nonsense-Variants Y325* im Vergleich zu TTN-Trunkierungsvarianten und anderen etablierten Genen.</w:t>
      </w:r>
    </w:p>
    <w:p>
      <w:r>
        <w:rPr>
          <w:b/>
        </w:rPr>
        <w:t xml:space="preserve">Ergebnis: </w:t>
      </w:r>
      <w:r>
        <w:t>Homozygote CD36-Y325*-Träger zeigten erhöhtes Kardiomyopathie-Risiko (OR 4,8; 95%-KI 3,1–7,3), Heterozygote (OR 1,4; 95%-KI 1,2–1,7). TTN-Trunkierungen: OR 8,5 (95%-KI 5,5–13,0). Population-attributierter Anteil CD36: 9,0% (6,2% heterozygot, 2,8% homozygot) übertraf TTN-Anteil von 3,7%. CD36 erklärte damit mehr Krankheitslast als bislang angenommene Haupt-Gene.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4 große klinische Kohorten, Bedeutung ethnischer Repräsentation in Genomforschung</w:t>
      </w:r>
    </w:p>
    <w:p>
      <w:r>
        <w:rPr>
          <w:color w:val="5A7D3A"/>
          <w:sz w:val="18"/>
        </w:rPr>
        <w:t>https://pubmed.ncbi.nlm.nih.gov/42895716/</w:t>
      </w:r>
    </w:p>
    <w:p>
      <w:pPr>
        <w:pStyle w:val="Heading2"/>
      </w:pPr>
      <w:r>
        <w:t>Dyspnoe ist Haupttreiber sexueller Inaktivität bei Herzinsuffizienz – Ärzte sprechen es kaum an</w:t>
      </w:r>
    </w:p>
    <w:p>
      <w:r>
        <w:rPr>
          <w:i/>
          <w:color w:val="666666"/>
          <w:sz w:val="18"/>
        </w:rPr>
        <w:t>Damy T et al.  ·  ESC Heart Fail  ·  19.10.2026  ·  PMID 42895114</w:t>
      </w:r>
    </w:p>
    <w:p>
      <w:r>
        <w:t>Nationale deskriptive Fragebogenstudie (ROMANT'IC) mit 1.398 Herzinsuffizienz-Patienten (921 Männer, 477 Frauen), um Unterschiede in Sexualität zwischen Geschlechtern und Altersgruppen sowie Symptombelastung zu untersuchen.</w:t>
      </w:r>
    </w:p>
    <w:p>
      <w:r>
        <w:rPr>
          <w:b/>
        </w:rPr>
        <w:t xml:space="preserve">Ergebnis: </w:t>
      </w:r>
      <w:r>
        <w:t>Von 655 Respondenten berichteten 57,8% Männer und 53,7% Frauen keine sexuelle Aktivität in 3 Monaten. Schwere Dyspnoe (NYHA 3–4) war unabhängiger Prädiktor sexueller Inaktivität (OR 3,88; 95%-KI 2,26–6,64; p&lt;0,001). Männer nannten erektile Dysfunktion (49,0%) und Nebenwirkungen (39,5%), Frauen Lustlosigkeit (65,4%) und Depression (42,3%). 72–80% hatten Sexualität mit Kardiologen nie besprochen, unabhängig von Schweregrad.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multizentrisches Netzwerk, geschlechts- und symptomgerechte Beratung in Routineversorgung nicht etabliert</w:t>
      </w:r>
    </w:p>
    <w:p>
      <w:r>
        <w:rPr>
          <w:color w:val="5A7D3A"/>
          <w:sz w:val="18"/>
        </w:rPr>
        <w:t>https://pubmed.ncbi.nlm.nih.gov/42895114/</w:t>
      </w:r>
    </w:p>
    <w:p>
      <w:pPr>
        <w:pStyle w:val="Heading2"/>
      </w:pPr>
      <w:r>
        <w:t>Frauen nach Herzinfarkt zeigen stärkeren parasympathischen Rückgang bei negativer Laune</w:t>
      </w:r>
    </w:p>
    <w:p>
      <w:r>
        <w:rPr>
          <w:i/>
          <w:color w:val="666666"/>
          <w:sz w:val="18"/>
        </w:rPr>
        <w:t>Vaccarino V et al.  ·  J Am Heart Assoc  ·  16.10.2026  ·  PMID 42885808</w:t>
      </w:r>
    </w:p>
    <w:p>
      <w:r>
        <w:t>Prospektive Kohortenstudie mit 302 Patienten ≤61 Jahren (43% Frauen, Durchschnittsalter 51) mit 7-Tage-Monitoring von Stimmung/Stress per Fragebogen und gleichzeitiger Holter-Überwachung für autonome Parameter.</w:t>
      </w:r>
    </w:p>
    <w:p>
      <w:r>
        <w:rPr>
          <w:b/>
        </w:rPr>
        <w:t xml:space="preserve">Ergebnis: </w:t>
      </w:r>
      <w:r>
        <w:t>Frauen berichteten höhere negative Stimmung und Stress als Männer. Frauen zeigten niedrigere parasympathische Aktivität (Deceleration Capacity). Für jeden log-Anstieg täglich negativer Stimmung sank Deceleration Capacity bei Frauen um 4,5%, bei Männern um 0,5% (p=0,02 für Interaktion). Muster in Herzratenvariabilität ähnlich, auch nach Adjustment für andere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verschiedene Zentren, psychosoziale Faktoren bei Frauen nach MI unterbehandelt</w:t>
      </w:r>
    </w:p>
    <w:p>
      <w:r>
        <w:rPr>
          <w:color w:val="5A7D3A"/>
          <w:sz w:val="18"/>
        </w:rPr>
        <w:t>https://pubmed.ncbi.nlm.nih.gov/42885808/</w:t>
      </w:r>
    </w:p>
    <w:p>
      <w:pPr>
        <w:pStyle w:val="Heading2"/>
      </w:pPr>
      <w:r>
        <w:t>Lipoprotein(a) und vulnerables Plaque in CT treffen zukünftige Herzinfarkte</w:t>
      </w:r>
    </w:p>
    <w:p>
      <w:r>
        <w:rPr>
          <w:i/>
          <w:color w:val="666666"/>
          <w:sz w:val="18"/>
        </w:rPr>
        <w:t>Isenstein D et al.  ·  JACC Cardiovasc Imaging  ·  09.10.2026  ·  PMID 42867429</w:t>
      </w:r>
    </w:p>
    <w:p>
      <w:r>
        <w:t>Prospektive Kohorte mit Patienten, die eine CT-Koronarangiografie erhielten, zur Untersuchung, ob Lipoprotein(a)-Spiegel und CT-Zeichen vulnerabler Plaques (Low-Attenuation-Plaque) den Myokardinfarkt vorhersagen.</w:t>
      </w:r>
    </w:p>
    <w:p>
      <w:r>
        <w:rPr>
          <w:b/>
        </w:rPr>
        <w:t xml:space="preserve">Ergebnis: </w:t>
      </w:r>
      <w:r>
        <w:t>Studie zeigt Assoziation zwischen Lipoprotein(a), vulnerablem Plaque-Phänotyp in der CT-Bildgebung und zukünftigem Myokardinfarkt, kombiniert laborchemische und bildgebende Risikomarker.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akademische Zentren, nicht-invasive Risikostratifizierung vor Symptomen</w:t>
      </w:r>
    </w:p>
    <w:p>
      <w:r>
        <w:rPr>
          <w:color w:val="5A7D3A"/>
          <w:sz w:val="18"/>
        </w:rPr>
        <w:t>https://pubmed.ncbi.nlm.nih.gov/42867429/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