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21.10.2026  |  242 Studien  |  kardio.m-vf.de</w:t>
      </w:r>
    </w:p>
    <w:p>
      <w:pPr>
        <w:pStyle w:val="Heading1"/>
      </w:pPr>
      <w:r>
        <w:t>Aufgenommen am 21.10.2026</w:t>
      </w:r>
    </w:p>
    <w:p>
      <w:pPr>
        <w:pStyle w:val="Heading2"/>
      </w:pPr>
      <w:r>
        <w:t>Schwere Trikuspidalinsuffizienz wird meist bei fortgeschrittener Rechtsherzinsuffizienz erkannt</w:t>
      </w:r>
    </w:p>
    <w:p>
      <w:r>
        <w:rPr>
          <w:i/>
          <w:color w:val="666666"/>
          <w:sz w:val="18"/>
        </w:rPr>
        <w:t>Fiore G et al.  ·  Int J Cardiol  ·  20.10.2026  ·  PMID 42901428</w:t>
      </w:r>
    </w:p>
    <w:p>
      <w:r>
        <w:t>Retrospektive Analyse von 625 Patienten mit erstmals diagnostizierter schwerer Trikuspidalinsuffizienz und Subgruppenanalyse von 310 mit vorherigem Echokardiogramm, um zu untersuchen, ob späte Erkennung oder frühe Krankheitsprogression den schlechten Phänotyp erklärt.</w:t>
      </w:r>
    </w:p>
    <w:p>
      <w:r>
        <w:rPr>
          <w:b/>
        </w:rPr>
        <w:t xml:space="preserve">Ergebnis: </w:t>
      </w:r>
      <w:r>
        <w:t>Bei Erstdiagnose schwerer TR zeigten 66,4% Rechtsherzinsuffizienz-Stadium 3 und 17,3% Stadium 4, nur 16,3% Stadium 1–2. Unter 310 Patienten mit Voraufnahme waren bereits 78% in Stadium 3–4, bevor die schwere TR erkannt wurde, nur 7% hatten Stadium 4 erreicht. Höhere RHF-Stadien korrelierten mit 2-Jahres-Mortalität.</w:t>
      </w:r>
    </w:p>
    <w:p>
      <w:r>
        <w:rPr>
          <w:b/>
          <w:sz w:val="19"/>
        </w:rPr>
        <w:t xml:space="preserve">Übertragbarkeit: </w:t>
      </w:r>
      <w:r>
        <w:rPr>
          <w:sz w:val="19"/>
        </w:rPr>
        <w:t>Italien, Universitätsklinik, funktionelle TR überwiegt mit 85% der Fälle</w:t>
      </w:r>
    </w:p>
    <w:p>
      <w:r>
        <w:rPr>
          <w:color w:val="5A7D3A"/>
          <w:sz w:val="18"/>
        </w:rPr>
        <w:t>https://pubmed.ncbi.nlm.nih.gov/42901428/</w:t>
      </w:r>
    </w:p>
    <w:p>
      <w:pPr>
        <w:pStyle w:val="Heading2"/>
      </w:pPr>
      <w:r>
        <w:t>LGE-Dispersions-Mapping sagt Herzrhythmusstörungen nach Herzinfarkt voraus</w:t>
      </w:r>
    </w:p>
    <w:p>
      <w:r>
        <w:rPr>
          <w:i/>
          <w:color w:val="666666"/>
          <w:sz w:val="18"/>
        </w:rPr>
        <w:t>Licordari R et al.  ·  Int J Cardiol  ·  20.10.2026  ·  PMID 42901427</w:t>
      </w:r>
    </w:p>
    <w:p>
      <w:r>
        <w:t>Retrospektive Analyse von 364 Patienten mit Herzinfarkt in der Vorgeschichte, um zu prüfen, ob eine neue MRT-Messung (LGE-Dispersions-Score) das Risiko für plötzlichen Herztod, Kammerflimmern und ICD-Schocks vorhersagt.</w:t>
      </w:r>
    </w:p>
    <w:p>
      <w:r>
        <w:rPr>
          <w:b/>
        </w:rPr>
        <w:t xml:space="preserve">Ergebnis: </w:t>
      </w:r>
      <w:r>
        <w:t>Bei 42 arrhythmischen Ereignissen während 4 Jahren zeigte sich ein LGE-Dispersions-Score &gt;0,5 als unabhängiger Prädiktor (Hazard Ratio 1,16 pro 0,1-Punkte-Anstieg, 95%-KI 1,03–1,29; p=0,005). Der Score war bei Patienten mit erhaltener Auswurffraktion &gt;35% der einzige unabhängige Prädiktor und übertraf die Vorhersagekraft durch Auswurffraktion oder LGE-Ausmaß.</w:t>
      </w:r>
    </w:p>
    <w:p>
      <w:r>
        <w:rPr>
          <w:b/>
          <w:sz w:val="19"/>
        </w:rPr>
        <w:t xml:space="preserve">Übertragbarkeit: </w:t>
      </w:r>
      <w:r>
        <w:rPr>
          <w:sz w:val="19"/>
        </w:rPr>
        <w:t>Italien, Universitätszentren, externe Validierung erforderlich vor klinischer Anwendung</w:t>
      </w:r>
    </w:p>
    <w:p>
      <w:r>
        <w:rPr>
          <w:color w:val="5A7D3A"/>
          <w:sz w:val="18"/>
        </w:rPr>
        <w:t>https://pubmed.ncbi.nlm.nih.gov/42901427/</w:t>
      </w:r>
    </w:p>
    <w:p>
      <w:pPr>
        <w:pStyle w:val="Heading2"/>
      </w:pPr>
      <w:r>
        <w:t>CD36-Genvariante trägt mehr zur dilatativen Kardiomyopathie bei Afrikanern bei als TTN-Mutationen</w:t>
      </w:r>
    </w:p>
    <w:p>
      <w:r>
        <w:rPr>
          <w:i/>
          <w:color w:val="666666"/>
          <w:sz w:val="18"/>
        </w:rPr>
        <w:t>Challa SP et al.  ·  JAMA  ·  19.10.2026  ·  PMID 42895716</w:t>
      </w:r>
    </w:p>
    <w:p>
      <w:r>
        <w:t>Genetische Assoziationsstudie in 4 US-Kohorten (n=82.623 afrikanische Abstammung, 1.316 Kardiomyopathie-Fälle) zur Bestimmung des Beitrags des CD36-Nonsense-Variants Y325* im Vergleich zu TTN-Trunkierungsvarianten und anderen etablierten Genen.</w:t>
      </w:r>
    </w:p>
    <w:p>
      <w:r>
        <w:rPr>
          <w:b/>
        </w:rPr>
        <w:t xml:space="preserve">Ergebnis: </w:t>
      </w:r>
      <w:r>
        <w:t>Homozygote CD36-Y325*-Träger zeigten erhöhtes Kardiomyopathie-Risiko (OR 4,8; 95%-KI 3,1–7,3), Heterozygote (OR 1,4; 95%-KI 1,2–1,7). TTN-Trunkierungen: OR 8,5 (95%-KI 5,5–13,0). Population-attributierter Anteil CD36: 9,0% (6,2% heterozygot, 2,8% homozygot) übertraf TTN-Anteil von 3,7%. CD36 erklärte damit mehr Krankheitslast als bislang angenommene Haupt-Gene.</w:t>
      </w:r>
    </w:p>
    <w:p>
      <w:r>
        <w:rPr>
          <w:b/>
          <w:sz w:val="19"/>
        </w:rPr>
        <w:t xml:space="preserve">Übertragbarkeit: </w:t>
      </w:r>
      <w:r>
        <w:rPr>
          <w:sz w:val="19"/>
        </w:rPr>
        <w:t>USA, 4 große klinische Kohorten, Bedeutung ethnischer Repräsentation in Genomforschung</w:t>
      </w:r>
    </w:p>
    <w:p>
      <w:r>
        <w:rPr>
          <w:color w:val="5A7D3A"/>
          <w:sz w:val="18"/>
        </w:rPr>
        <w:t>https://pubmed.ncbi.nlm.nih.gov/42895716/</w:t>
      </w:r>
    </w:p>
    <w:p>
      <w:pPr>
        <w:pStyle w:val="Heading2"/>
      </w:pPr>
      <w:r>
        <w:t>Dyspnoe ist Haupttreiber sexueller Inaktivität bei Herzinsuffizienz – Ärzte sprechen es kaum an</w:t>
      </w:r>
    </w:p>
    <w:p>
      <w:r>
        <w:rPr>
          <w:i/>
          <w:color w:val="666666"/>
          <w:sz w:val="18"/>
        </w:rPr>
        <w:t>Damy T et al.  ·  ESC Heart Fail  ·  19.10.2026  ·  PMID 42895114</w:t>
      </w:r>
    </w:p>
    <w:p>
      <w:r>
        <w:t>Nationale deskriptive Fragebogenstudie (ROMANT'IC) mit 1.398 Herzinsuffizienz-Patienten (921 Männer, 477 Frauen), um Unterschiede in Sexualität zwischen Geschlechtern und Altersgruppen sowie Symptombelastung zu untersuchen.</w:t>
      </w:r>
    </w:p>
    <w:p>
      <w:r>
        <w:rPr>
          <w:b/>
        </w:rPr>
        <w:t xml:space="preserve">Ergebnis: </w:t>
      </w:r>
      <w:r>
        <w:t>Von 655 Respondenten berichteten 57,8% Männer und 53,7% Frauen keine sexuelle Aktivität in 3 Monaten. Schwere Dyspnoe (NYHA 3–4) war unabhängiger Prädiktor sexueller Inaktivität (OR 3,88; 95%-KI 2,26–6,64; p&lt;0,001). Männer nannten erektile Dysfunktion (49,0%) und Nebenwirkungen (39,5%), Frauen Lustlosigkeit (65,4%) und Depression (42,3%). 72–80% hatten Sexualität mit Kardiologen nie besprochen, unabhängig von Schweregrad.</w:t>
      </w:r>
    </w:p>
    <w:p>
      <w:r>
        <w:rPr>
          <w:b/>
          <w:sz w:val="19"/>
        </w:rPr>
        <w:t xml:space="preserve">Übertragbarkeit: </w:t>
      </w:r>
      <w:r>
        <w:rPr>
          <w:sz w:val="19"/>
        </w:rPr>
        <w:t>Frankreich, multizentrisches Netzwerk, geschlechts- und symptomgerechte Beratung in Routineversorgung nicht etabliert</w:t>
      </w:r>
    </w:p>
    <w:p>
      <w:r>
        <w:rPr>
          <w:color w:val="5A7D3A"/>
          <w:sz w:val="18"/>
        </w:rPr>
        <w:t>https://pubmed.ncbi.nlm.nih.gov/42895114/</w:t>
      </w:r>
    </w:p>
    <w:p>
      <w:pPr>
        <w:pStyle w:val="Heading2"/>
      </w:pPr>
      <w:r>
        <w:t>Frauen nach Herzinfarkt zeigen stärkeren parasympathischen Rückgang bei negativer Laune</w:t>
      </w:r>
    </w:p>
    <w:p>
      <w:r>
        <w:rPr>
          <w:i/>
          <w:color w:val="666666"/>
          <w:sz w:val="18"/>
        </w:rPr>
        <w:t>Vaccarino V et al.  ·  J Am Heart Assoc  ·  16.10.2026  ·  PMID 42885808</w:t>
      </w:r>
    </w:p>
    <w:p>
      <w:r>
        <w:t>Prospektive Kohortenstudie mit 302 Patienten ≤61 Jahren (43% Frauen, Durchschnittsalter 51) mit 7-Tage-Monitoring von Stimmung/Stress per Fragebogen und gleichzeitiger Holter-Überwachung für autonome Parameter.</w:t>
      </w:r>
    </w:p>
    <w:p>
      <w:r>
        <w:rPr>
          <w:b/>
        </w:rPr>
        <w:t xml:space="preserve">Ergebnis: </w:t>
      </w:r>
      <w:r>
        <w:t>Frauen berichteten höhere negative Stimmung und Stress als Männer. Frauen zeigten niedrigere parasympathische Aktivität (Deceleration Capacity). Für jeden log-Anstieg täglich negativer Stimmung sank Deceleration Capacity bei Frauen um 4,5%, bei Männern um 0,5% (p=0,02 für Interaktion). Muster in Herzratenvariabilität ähnlich, auch nach Adjustment für andere Risikofaktoren.</w:t>
      </w:r>
    </w:p>
    <w:p>
      <w:r>
        <w:rPr>
          <w:b/>
          <w:sz w:val="19"/>
        </w:rPr>
        <w:t xml:space="preserve">Übertragbarkeit: </w:t>
      </w:r>
      <w:r>
        <w:rPr>
          <w:sz w:val="19"/>
        </w:rPr>
        <w:t>USA, verschiedene Zentren, psychosoziale Faktoren bei Frauen nach MI unterbehandelt</w:t>
      </w:r>
    </w:p>
    <w:p>
      <w:r>
        <w:rPr>
          <w:color w:val="5A7D3A"/>
          <w:sz w:val="18"/>
        </w:rPr>
        <w:t>https://pubmed.ncbi.nlm.nih.gov/42885808/</w:t>
      </w:r>
    </w:p>
    <w:p>
      <w:pPr>
        <w:pStyle w:val="Heading2"/>
      </w:pPr>
      <w:r>
        <w:t>Lipoprotein(a) und vulnerables Plaque in CT treffen zukünftige Herzinfarkte</w:t>
      </w:r>
    </w:p>
    <w:p>
      <w:r>
        <w:rPr>
          <w:i/>
          <w:color w:val="666666"/>
          <w:sz w:val="18"/>
        </w:rPr>
        <w:t>Isenstein D et al.  ·  JACC Cardiovasc Imaging  ·  09.10.2026  ·  PMID 42867429</w:t>
      </w:r>
    </w:p>
    <w:p>
      <w:r>
        <w:t>Prospektive Kohorte mit Patienten, die eine CT-Koronarangiografie erhielten, zur Untersuchung, ob Lipoprotein(a)-Spiegel und CT-Zeichen vulnerabler Plaques (Low-Attenuation-Plaque) den Myokardinfarkt vorhersagen.</w:t>
      </w:r>
    </w:p>
    <w:p>
      <w:r>
        <w:rPr>
          <w:b/>
        </w:rPr>
        <w:t xml:space="preserve">Ergebnis: </w:t>
      </w:r>
      <w:r>
        <w:t>Studie zeigt Assoziation zwischen Lipoprotein(a), vulnerablem Plaque-Phänotyp in der CT-Bildgebung und zukünftigem Myokardinfarkt, kombiniert laborchemische und bildgebende Risikomarker.</w:t>
      </w:r>
    </w:p>
    <w:p>
      <w:r>
        <w:rPr>
          <w:b/>
          <w:sz w:val="19"/>
        </w:rPr>
        <w:t xml:space="preserve">Übertragbarkeit: </w:t>
      </w:r>
      <w:r>
        <w:rPr>
          <w:sz w:val="19"/>
        </w:rPr>
        <w:t>Multinationale akademische Zentren, nicht-invasive Risikostratifizierung vor Symptomen</w:t>
      </w:r>
    </w:p>
    <w:p>
      <w:r>
        <w:rPr>
          <w:color w:val="5A7D3A"/>
          <w:sz w:val="18"/>
        </w:rPr>
        <w:t>https://pubmed.ncbi.nlm.nih.gov/42867429/</w:t>
      </w:r>
    </w:p>
    <w:p>
      <w:pPr>
        <w:pStyle w:val="Heading1"/>
      </w:pPr>
      <w:r>
        <w:t>Aufgenommen am 20.10.2026</w:t>
      </w:r>
    </w:p>
    <w:p>
      <w:pPr>
        <w:pStyle w:val="Heading2"/>
      </w:pPr>
      <w:r>
        <w:t>Leberfunktionsmuster identifizieren Hochrisiko-Patienten bei akuter Herzinsuffizienz</w:t>
      </w:r>
    </w:p>
    <w:p>
      <w:r>
        <w:rPr>
          <w:i/>
          <w:color w:val="666666"/>
          <w:sz w:val="18"/>
        </w:rPr>
        <w:t>Marcus G et al.  ·  Clin Res Cardiol  ·  19.10.2026  ·  PMID 42895544</w:t>
      </w:r>
    </w:p>
    <w:p>
      <w:r>
        <w:t>Israelische Kohortenstudie an 8332 Hospitalisierungen mit akut dekompensierter Herzinsuffizienz untersuchte, ob Muster der Leberfunktionswerte (AST, ALT, alkalische Phosphatase, Bilirubin) Prognose vorhersagen.</w:t>
      </w:r>
    </w:p>
    <w:p>
      <w:r>
        <w:rPr>
          <w:b/>
        </w:rPr>
        <w:t xml:space="preserve">Ergebnis: </w:t>
      </w:r>
      <w:r>
        <w:t>Vier Phänotypen zeigten deutlich unterschiedliche Sterblichkeit: keine Leberverletzung 3,5 %, hepatozellulär 16,3 %, cholestasisch 9,0 %, kombiniert 24,3 % (p&lt;0,001). Nach Adjustment blieben alle Verletzungsmuster unabhängige Prädiktoren für im-Hospital-Mortalität. Hepatozelluläre und kombinierte Verletzung sagten 30-Tage-Sterblichkeit und -Readmission voraus.</w:t>
      </w:r>
    </w:p>
    <w:p>
      <w:r>
        <w:rPr>
          <w:b/>
          <w:sz w:val="19"/>
        </w:rPr>
        <w:t xml:space="preserve">Übertragbarkeit: </w:t>
      </w:r>
      <w:r>
        <w:rPr>
          <w:sz w:val="19"/>
        </w:rPr>
        <w:t>Israel, vergleichbare Dokumentationspraxis; Routineparameter für deutsche Kliniken verfügbar.</w:t>
      </w:r>
    </w:p>
    <w:p>
      <w:r>
        <w:rPr>
          <w:color w:val="5A7D3A"/>
          <w:sz w:val="18"/>
        </w:rPr>
        <w:t>https://pubmed.ncbi.nlm.nih.gov/42895544/</w:t>
      </w:r>
    </w:p>
    <w:p>
      <w:pPr>
        <w:pStyle w:val="Heading2"/>
      </w:pPr>
      <w:r>
        <w:t>Echokardiographischer Atrial-Coupling-Index prognostiziert Vorhofflimmern nach Schlaganfall</w:t>
      </w:r>
    </w:p>
    <w:p>
      <w:r>
        <w:rPr>
          <w:i/>
          <w:color w:val="666666"/>
          <w:sz w:val="18"/>
        </w:rPr>
        <w:t>Giordano C et al.  ·  Clin Res Cardiol  ·  19.10.2026  ·  PMID 42895543</w:t>
      </w:r>
    </w:p>
    <w:p>
      <w:r>
        <w:t>Italienische Kohortenstudie an 285 Patienten mit embolischem Schlaganfall oder TIA unbekannter Ursache untersuchte, ob der Left Atrial Volumetric-Mechanical Coupling Index (LACI-VM) das Auftreten von Vorhofflimmern vorhersagt.</w:t>
      </w:r>
    </w:p>
    <w:p>
      <w:r>
        <w:rPr>
          <w:b/>
        </w:rPr>
        <w:t xml:space="preserve">Ergebnis: </w:t>
      </w:r>
      <w:r>
        <w:t>Über 10,9 Monate Nachbeobachtung entwickelten 24 Patienten (8,4 %) Vorhofflimmern, 62 % innerhalb eines Jahres. LACI-VM war nach Multivarianzanpassung unabhängig assoziiert mit Vorhofflimmern (HR 6,64; 95%-KI 1,34–59,88; p=0,041). Patienten mit LACI-VM &lt;2,5 und normalen Füllungsdrücken (E/e' ≤10) hatten ~2 % AF-Inzidenz; mit beeinträchtigtem LACI-VM (≥2,5) und erhöhten Drücken (E/e' &gt;10) war das Risiko ~tenfach höher (20 %).</w:t>
      </w:r>
    </w:p>
    <w:p>
      <w:r>
        <w:rPr>
          <w:b/>
          <w:sz w:val="19"/>
        </w:rPr>
        <w:t xml:space="preserve">Übertragbarkeit: </w:t>
      </w:r>
      <w:r>
        <w:rPr>
          <w:sz w:val="19"/>
        </w:rPr>
        <w:t>Italien, kardiologische Echokardiographie; einfache Messung für deutsche Stroke Units anwendbar.</w:t>
      </w:r>
    </w:p>
    <w:p>
      <w:r>
        <w:rPr>
          <w:color w:val="5A7D3A"/>
          <w:sz w:val="18"/>
        </w:rPr>
        <w:t>https://pubmed.ncbi.nlm.nih.gov/42895543/</w:t>
      </w:r>
    </w:p>
    <w:p>
      <w:pPr>
        <w:pStyle w:val="Heading2"/>
      </w:pPr>
      <w:r>
        <w:t>Lipoprotein(a) nicht assoziiert mit Reperfusionsschaden bei STEMI</w:t>
      </w:r>
    </w:p>
    <w:p>
      <w:r>
        <w:rPr>
          <w:i/>
          <w:color w:val="666666"/>
          <w:sz w:val="18"/>
        </w:rPr>
        <w:t>Holzknecht M et al.  ·  Clin Res Cardiol  ·  19.10.2026  ·  PMID 42895541</w:t>
      </w:r>
    </w:p>
    <w:p>
      <w:r>
        <w:t>Österreichische prospektive Kohortenstudie (MARINA-STEMI) an 518 STEMI-Patienten mit primärer PCI untersuchte, ob Lipoprotein(a) mit Ischämie-Reperfusionsschaden (gemessen durch kardiale Magnetresonanztomographie) korreliert.</w:t>
      </w:r>
    </w:p>
    <w:p>
      <w:r>
        <w:rPr>
          <w:b/>
        </w:rPr>
        <w:t xml:space="preserve">Ergebnis: </w:t>
      </w:r>
      <w:r>
        <w:t>LDL-Cholesterin korrelierte mit Infarktgröße (ρ=0,114; p=0,010) und war höher bei Patienten mit intramyokardialer Hämorrhagie (145 vs. 140 mg/dl; p=0,031). Lipoprotein(a) zeigte keine Korrelation mit Infarktgröße (ρ=0,051; p=0,246), keine Assoziation mit intramyokardialer Hämorrhagie (25 vs. 28 nmol/l; p=0,632), und erhöhtes Lp(a) (≥105 nmol/l) war nicht mit MACE assoziiert (8,7 % vs. 8,8 %; p=0,966).</w:t>
      </w:r>
    </w:p>
    <w:p>
      <w:r>
        <w:rPr>
          <w:b/>
          <w:sz w:val="19"/>
        </w:rPr>
        <w:t xml:space="preserve">Übertragbarkeit: </w:t>
      </w:r>
      <w:r>
        <w:rPr>
          <w:sz w:val="19"/>
        </w:rPr>
        <w:t>Österreich, vergleichbares Gesundheitssystem; zeigt Grenzen eines Biomarkers auf, relevant für deutsche Patientenselektion.</w:t>
      </w:r>
    </w:p>
    <w:p>
      <w:r>
        <w:rPr>
          <w:color w:val="5A7D3A"/>
          <w:sz w:val="18"/>
        </w:rPr>
        <w:t>https://pubmed.ncbi.nlm.nih.gov/42895541/</w:t>
      </w:r>
    </w:p>
    <w:p>
      <w:pPr>
        <w:pStyle w:val="Heading2"/>
      </w:pPr>
      <w:r>
        <w:t>ESC-Konsensus zur Nachsorge von Herztransplantierten außerhalb von Zentren</w:t>
      </w:r>
    </w:p>
    <w:p>
      <w:r>
        <w:rPr>
          <w:i/>
          <w:color w:val="666666"/>
          <w:sz w:val="18"/>
        </w:rPr>
        <w:t>Baudry G et al.  ·  Eur J Heart Fail  ·  19.10.2026  ·  PMID 42895118</w:t>
      </w:r>
    </w:p>
    <w:p>
      <w:r>
        <w:t>Europäische Konsensusstellungnahme (HFA/ACNAP/ESC) mit Handlungsempfehlungen für Nicht-Transplantationszentren zur Betreuung von Langzeit-Herztransplantierten hinsichtlich Immunsuppression, Abstoßung, Infektion, kardiale Vaskulopathie, Malignität, Nierenerkrankung und metabolischen Störungen.</w:t>
      </w:r>
    </w:p>
    <w:p>
      <w:r>
        <w:rPr>
          <w:b/>
        </w:rPr>
        <w:t xml:space="preserve">Ergebnis: </w:t>
      </w:r>
      <w:r>
        <w:t>Konsensus empfiehlt strukturierte Nachsorgemodelle mit zeitabhängigen Behandlungsprinzipien, Shared-Care-Modelle zwischen Transplantationszentren und Hausversorgern, klare Kriterien für Überweisung bei komplexen Szenarien (Fertilität, Schwangerschaft, nicht-kardiale Chirurgie, Rehabilitation, palliative Care). Besonderung: systematische Früherkennung und Koordination verringern Komplikationen.</w:t>
      </w:r>
    </w:p>
    <w:p>
      <w:r>
        <w:rPr>
          <w:b/>
          <w:sz w:val="19"/>
        </w:rPr>
        <w:t xml:space="preserve">Übertragbarkeit: </w:t>
      </w:r>
      <w:r>
        <w:rPr>
          <w:sz w:val="19"/>
        </w:rPr>
        <w:t>Europa (Deutschland Mitautor), deutschsprachige Zentren; strukturelle Vorgaben direkt übertragbar.</w:t>
      </w:r>
    </w:p>
    <w:p>
      <w:r>
        <w:rPr>
          <w:color w:val="5A7D3A"/>
          <w:sz w:val="18"/>
        </w:rPr>
        <w:t>https://pubmed.ncbi.nlm.nih.gov/42895118/</w:t>
      </w:r>
    </w:p>
    <w:p>
      <w:pPr>
        <w:pStyle w:val="Heading2"/>
      </w:pPr>
      <w:r>
        <w:t>Herzinsuffizienz zerstört die normale Struktur der Herzmuskel-Tubuli</w:t>
      </w:r>
    </w:p>
    <w:p>
      <w:r>
        <w:rPr>
          <w:i/>
          <w:color w:val="666666"/>
          <w:sz w:val="18"/>
        </w:rPr>
        <w:t>Iqbal Z et al.  ·  J Mol Cell Cardiol  ·  09.10.2026  ·  PMID 42854828</w:t>
      </w:r>
    </w:p>
    <w:p>
      <w:r>
        <w:t>Deutsche Grundlagenstudie an Gewebeschnitten von 8 nicht-insuffizienten und 13 terminal insuffizienten Spenderherzen untersuchte, ob die transmuralen Gradienten der T-Tubuli (Ionenkanäle der Myozyten) bei Herzinsuffizienz erhalten bleiben und ob kleine Biopsien repräsentativ sind.</w:t>
      </w:r>
    </w:p>
    <w:p>
      <w:r>
        <w:rPr>
          <w:b/>
        </w:rPr>
        <w:t xml:space="preserve">Ergebnis: </w:t>
      </w:r>
      <w:r>
        <w:t>In nicht-insuffizienten Herzen war die T-Tubuli-Dichte im Subepikard 45 % höher als im Subendokard (0,16 ± 0,01 % vs. 0,11 ± 0,01 %; p&lt;0,001). Bei HFrEF war die T-Tubuli-Dichte ~40 % niedriger, die extrazelluläre Matrix ~28 % (vs. ~20 %), Myozyten ~50 % breiter, und der transmuraale Gradient war aufgehoben. Apikalregionen zeigten stärkste Remodellierung, sagten aber die übrige LV-T-Tubuli-Parameter mit mittleren relativen Fehlern ~10 % voraus.</w:t>
      </w:r>
    </w:p>
    <w:p>
      <w:r>
        <w:rPr>
          <w:b/>
          <w:sz w:val="19"/>
        </w:rPr>
        <w:t xml:space="preserve">Übertragbarkeit: </w:t>
      </w:r>
      <w:r>
        <w:rPr>
          <w:sz w:val="19"/>
        </w:rPr>
        <w:t>Deutschland (Erlangen, Leipzig, Bad Oeynhausen), humane Explantate; Biopsie-Strategie für klinische T-Tubuli-Diagnostik definiert.</w:t>
      </w:r>
    </w:p>
    <w:p>
      <w:r>
        <w:rPr>
          <w:color w:val="5A7D3A"/>
          <w:sz w:val="18"/>
        </w:rPr>
        <w:t>https://pubmed.ncbi.nlm.nih.gov/42854828/</w:t>
      </w:r>
    </w:p>
    <w:p>
      <w:pPr>
        <w:pStyle w:val="Heading2"/>
      </w:pPr>
      <w:r>
        <w:t>FFR-CT prognostiziert Herzinfarkt und kardiovaskulären Tod unabhängig von Stenosegrad</w:t>
      </w:r>
    </w:p>
    <w:p>
      <w:r>
        <w:rPr>
          <w:i/>
          <w:color w:val="666666"/>
          <w:sz w:val="18"/>
        </w:rPr>
        <w:t>Bell JS et al.  ·  Circulation  ·  20.10.2026  ·  PMID 42770221</w:t>
      </w:r>
    </w:p>
    <w:p>
      <w:r>
        <w:t>Britische Kohortenstudie an 7836 Patienten mit stabiler Koronarer Herzkrankheit untersuchte, ob die computertomographisch abgeleitete Fraktionale Flussreserve (FFR-CT) zukünftige kardiovaskuläre Ereignisse vorhersagt.</w:t>
      </w:r>
    </w:p>
    <w:p>
      <w:r>
        <w:rPr>
          <w:b/>
        </w:rPr>
        <w:t xml:space="preserve">Ergebnis: </w:t>
      </w:r>
      <w:r>
        <w:t>FFR-CT-Werte ≤0,7 waren unabhängig von Stenosegrad mit erhöhtem Myokardinfarktrisiko assoziiert (adjustierte HR 2,94–3,39; p&lt;0,001), FFR-CT ≤0,5 mit kardiovaskulärem Tod (adjustierte HR 2,92; p=0,02). Ein FFR-CT-Wert von 0,67 markierte den optimalen Risikoschwellenwert. Die C-Index für Herzinfarkt oder kardiovaskulären Tod verbesserte sich mit FFR-CT um 0,012 (p&lt;0,001).</w:t>
      </w:r>
    </w:p>
    <w:p>
      <w:r>
        <w:rPr>
          <w:b/>
          <w:sz w:val="19"/>
        </w:rPr>
        <w:t xml:space="preserve">Übertragbarkeit: </w:t>
      </w:r>
      <w:r>
        <w:rPr>
          <w:sz w:val="19"/>
        </w:rPr>
        <w:t>Großbritannien, nationale Datenbank; Methode klinisch etabliert, übertragbar auf deutsche Screening-Strukturen.</w:t>
      </w:r>
    </w:p>
    <w:p>
      <w:r>
        <w:rPr>
          <w:color w:val="5A7D3A"/>
          <w:sz w:val="18"/>
        </w:rPr>
        <w:t>https://pubmed.ncbi.nlm.nih.gov/42770221/</w:t>
      </w:r>
    </w:p>
    <w:p>
      <w:pPr>
        <w:pStyle w:val="Heading1"/>
      </w:pPr>
      <w:r>
        <w:t>Aufgenommen am 19.10.2026</w:t>
      </w:r>
    </w:p>
    <w:p>
      <w:pPr>
        <w:pStyle w:val="Heading2"/>
      </w:pPr>
      <w:r>
        <w:t>GLP-1-Agonisten senken Vorhofflimmernrisiko bei Adipositas und Nierenerkrankung</w:t>
      </w:r>
    </w:p>
    <w:p>
      <w:r>
        <w:rPr>
          <w:i/>
          <w:color w:val="666666"/>
          <w:sz w:val="18"/>
        </w:rPr>
        <w:t>Hassan A et al.  ·  Int J Cardiol  ·  17.10.2026  ·  PMID 42892471</w:t>
      </w:r>
    </w:p>
    <w:p>
      <w:r>
        <w:t>Retrospektive Kohortenstudie an 7.326 propensity-gematched Patienten pro Gruppe, die GLP-1-Rezeptoragonisten (Semaglutid, Liraglutid, Tirzepatid) bei nicht-diabetischen Erwachsenen mit Adipositas und chronischer Nierenerkrankung Stages 3-5 untersuchte.</w:t>
      </w:r>
    </w:p>
    <w:p>
      <w:r>
        <w:rPr>
          <w:b/>
        </w:rPr>
        <w:t xml:space="preserve">Ergebnis: </w:t>
      </w:r>
      <w:r>
        <w:t>Nach 1 Jahr Inzidenz-Vorhofflimmern 1,63% unter GLP-1-RA vs. 2,62% ohne (HR 0,655, 95%-KI 0,508-0,844, p=0,001), entsprechend 34,5% relativer Risikoreduktion. Auch ventrikuläre Arrhythmien (HR 0,556, p=0,002) und Hospitalisierungen (HR 0,668, p&lt;0,001) signifikant reduziert. Effekte persistent über 2–3 Jahre.</w:t>
      </w:r>
    </w:p>
    <w:p>
      <w:r>
        <w:rPr>
          <w:b/>
          <w:sz w:val="19"/>
        </w:rPr>
        <w:t xml:space="preserve">Übertragbarkeit: </w:t>
      </w:r>
      <w:r>
        <w:rPr>
          <w:sz w:val="19"/>
        </w:rPr>
        <w:t>USA-Daten (TriNetX), begrenzte Direktübertragung auf deutsches System</w:t>
      </w:r>
    </w:p>
    <w:p>
      <w:r>
        <w:rPr>
          <w:color w:val="5A7D3A"/>
          <w:sz w:val="18"/>
        </w:rPr>
        <w:t>https://pubmed.ncbi.nlm.nih.gov/42892471/</w:t>
      </w:r>
    </w:p>
    <w:p>
      <w:pPr>
        <w:pStyle w:val="Heading2"/>
      </w:pPr>
      <w:r>
        <w:t>Alkoholbedingte Leberfettsucht erhöht Schlaganfallrisiko bei Vorhofflimmern</w:t>
      </w:r>
    </w:p>
    <w:p>
      <w:r>
        <w:rPr>
          <w:i/>
          <w:color w:val="666666"/>
          <w:sz w:val="18"/>
        </w:rPr>
        <w:t>Go YH et al.  ·  Heart Rhythm  ·  16.10.2026  ·  PMID 42887623</w:t>
      </w:r>
    </w:p>
    <w:p>
      <w:r>
        <w:t>Nationale koreanische Kohorte von 196.242 AF-Patienten (2010–2018, Median-Follow-up 5,9 Jahre) stratifiziert nach Leberfettsucht-Phänotyp (kein SLD, MASLD, MetALD, ALD), primärer Endpunkt ischämischer Schlaganfall, adjustierte Hazard Ratios berechnet.</w:t>
      </w:r>
    </w:p>
    <w:p>
      <w:r>
        <w:rPr>
          <w:b/>
        </w:rPr>
        <w:t xml:space="preserve">Ergebnis: </w:t>
      </w:r>
      <w:r>
        <w:t>Gegenüber kein-SLD: MASLD nicht assoziiert mit Schlaganfallrisiko (aHR 1,00, 95%-KI 0,97–1,04). MetALD: aHR 1,09 (KI 1,00–1,18); ALD: aHR 1,16 (KI 1,08–1,26). Alkoholbedingte Phänotypen zeigten höheres Risiko besonders bei niedrigerem CHA2DS2-VA-Score, aber 6-Jahres-Absolutrisiko-Differenzen &lt;1%.</w:t>
      </w:r>
    </w:p>
    <w:p>
      <w:r>
        <w:rPr>
          <w:b/>
          <w:sz w:val="19"/>
        </w:rPr>
        <w:t xml:space="preserve">Übertragbarkeit: </w:t>
      </w:r>
      <w:r>
        <w:rPr>
          <w:sz w:val="19"/>
        </w:rPr>
        <w:t>Südkorea-Kohorte, generalisierbar auf Bevölkerungen ähnlicher Baseline-Epidemiologie</w:t>
      </w:r>
    </w:p>
    <w:p>
      <w:r>
        <w:rPr>
          <w:color w:val="5A7D3A"/>
          <w:sz w:val="18"/>
        </w:rPr>
        <w:t>https://pubmed.ncbi.nlm.nih.gov/42887623/</w:t>
      </w:r>
    </w:p>
    <w:p>
      <w:pPr>
        <w:pStyle w:val="Heading2"/>
      </w:pPr>
      <w:r>
        <w:t>Kardiopulmonale Belastungstestung reduziert Herzinsuffizienz-Sterblichkeit bei Weißen und Hispanern</w:t>
      </w:r>
    </w:p>
    <w:p>
      <w:r>
        <w:rPr>
          <w:i/>
          <w:color w:val="666666"/>
          <w:sz w:val="18"/>
        </w:rPr>
        <w:t>Rice J et al.  ·  ESC Heart Fail  ·  27.08.2026  ·  PMID 42887014</w:t>
      </w:r>
    </w:p>
    <w:p>
      <w:r>
        <w:t>Retrospektive Kohortenstudie mit Propensity-Score-Matching an 8.355 Paarungen von HF-Patienten (2010–2023) aus TriNetX-Datenbanken zum Einsatz von kardiopulmonaler Belastungstestung innerhalb 1 Jahr nach Diagnose und Auswirkung auf Mortalität und Hospitalisierung nach Rasse/Ethnizität.</w:t>
      </w:r>
    </w:p>
    <w:p>
      <w:r>
        <w:rPr>
          <w:b/>
        </w:rPr>
        <w:t xml:space="preserve">Ergebnis: </w:t>
      </w:r>
      <w:r>
        <w:t>CPET-Nutzung insgesamt 1,27% (Weiße 1,39%, Schwarze 1,20%, Hispanier 0,69%, Asiaten 0,79%). 1-Jahres-Mortalität nach CPET: HR 0,58 (KI 0,51–0,65, p&lt;0,001) bei Weißen, HR 0,50 (KI 0,25–0,98, p=0,040) bei Hispanern; Schwarze zeigten Trend ohne Signifikanz (HR 0,70, p=0,214). HF-Hospitalisierung höher in CPET-Gruppe (Überwachungsbias).</w:t>
      </w:r>
    </w:p>
    <w:p>
      <w:r>
        <w:rPr>
          <w:b/>
          <w:sz w:val="19"/>
        </w:rPr>
        <w:t xml:space="preserve">Übertragbarkeit: </w:t>
      </w:r>
      <w:r>
        <w:rPr>
          <w:sz w:val="19"/>
        </w:rPr>
        <w:t>USA-Daten, Disparitäten-Befund ist übertragbar, Absolut-Zahlen sind nicht generalisierbar</w:t>
      </w:r>
    </w:p>
    <w:p>
      <w:r>
        <w:rPr>
          <w:color w:val="5A7D3A"/>
          <w:sz w:val="18"/>
        </w:rPr>
        <w:t>https://pubmed.ncbi.nlm.nih.gov/42887014/</w:t>
      </w:r>
    </w:p>
    <w:p>
      <w:pPr>
        <w:pStyle w:val="Heading2"/>
      </w:pPr>
      <w:r>
        <w:t>Linksventrikuläre Wandspannung vorhersagbar für neue Herzinsuffizienz</w:t>
      </w:r>
    </w:p>
    <w:p>
      <w:r>
        <w:rPr>
          <w:i/>
          <w:color w:val="666666"/>
          <w:sz w:val="18"/>
        </w:rPr>
        <w:t>White A et al.  ·  Am J Cardiol  ·  14.10.2026  ·  PMID 42874760</w:t>
      </w:r>
    </w:p>
    <w:p>
      <w:r>
        <w:t>Retrospektive Kohortenstudie von 29.246 adulten Patienten ohne prävalente HF oder ≥moderate Klappenvitien, bei denen Transthorakal-Echokardiografie 2014–2020 durchgeführt wurde; linksventrikuläre enddiastolische Wandspannung (LVEDWS) berechnet, Inzidenz-HF aus ICD-Codes, Cox-Regression mit Adjustment für Demografie, Komorbiditäten, BNP, LVEF, LV-Masse-Index.</w:t>
      </w:r>
    </w:p>
    <w:p>
      <w:r>
        <w:rPr>
          <w:b/>
        </w:rPr>
        <w:t xml:space="preserve">Ergebnis: </w:t>
      </w:r>
      <w:r>
        <w:t>Kohorte Median-Alter 59 Jahre, 54% Frauen, 11% Black. Median LVEDWS 14,5 (IQR 11,8–18,0) kdynes/cm². Follow-up maximal 8,2 Jahre (Median 3,7). 3.082 (11%) entwickelten Inzidenz-HF. Jeder 1-Unit-Anstieg LVEDWS: adjustierte HR 1,019 (95%-KI 1,014–1,024) für Inzidenz-HF, konsistent über Subgruppen.</w:t>
      </w:r>
    </w:p>
    <w:p>
      <w:r>
        <w:rPr>
          <w:b/>
          <w:sz w:val="19"/>
        </w:rPr>
        <w:t xml:space="preserve">Übertragbarkeit: </w:t>
      </w:r>
      <w:r>
        <w:rPr>
          <w:sz w:val="19"/>
        </w:rPr>
        <w:t>USA-Klinikdaten (Vanderbilt), Echokardiografie-Parameter sind technisch global standardisiert</w:t>
      </w:r>
    </w:p>
    <w:p>
      <w:r>
        <w:rPr>
          <w:color w:val="5A7D3A"/>
          <w:sz w:val="18"/>
        </w:rPr>
        <w:t>https://pubmed.ncbi.nlm.nih.gov/42874760/</w:t>
      </w:r>
    </w:p>
    <w:p>
      <w:pPr>
        <w:pStyle w:val="Heading2"/>
      </w:pPr>
      <w:r>
        <w:t>PCI-Aufschub vor TAVR sicher, aber bei komplexer KHK (SYNTAX &gt;17) erhöhtes Ischämierisiko</w:t>
      </w:r>
    </w:p>
    <w:p>
      <w:r>
        <w:rPr>
          <w:i/>
          <w:color w:val="666666"/>
          <w:sz w:val="18"/>
        </w:rPr>
        <w:t>Broeze GM et al.  ·  JACC Cardiovasc Interv  ·  12.10.2026  ·  PMID 42863875</w:t>
      </w:r>
    </w:p>
    <w:p>
      <w:r>
        <w:t>Substudie der randomisierten PRO-TAVI-Studie an 466 Patienten mit bedeutsamer koronarer Herzerkrankung und TAVR-Indikation, stratifiziert nach SYNTAX-Score (Ausmaß der KHK), verglichen PCI-Aufschub vs. PCI vor TAVR.</w:t>
      </w:r>
    </w:p>
    <w:p>
      <w:r>
        <w:rPr>
          <w:b/>
        </w:rPr>
        <w:t xml:space="preserve">Ergebnis: </w:t>
      </w:r>
      <w:r>
        <w:t>Primärer Endpunkt (Mortalität, MI, Schlaganfall, schwere Blutung) bei 1 Jahr nicht unterschiedlich zwischen Gruppen. Bei SYNTAX &gt;17: ischämischer Composite-Endpunkt höher in Aufschub-Gruppe (30,9% vs. 14,8%, adjustierte HR 2,43, 95%-KI 1,04–5,64, p=0,04). Blutungen weniger häufig bei Aufschub über alle SYNTAX-Kategorien.</w:t>
      </w:r>
    </w:p>
    <w:p>
      <w:r>
        <w:rPr>
          <w:b/>
          <w:sz w:val="19"/>
        </w:rPr>
        <w:t xml:space="preserve">Übertragbarkeit: </w:t>
      </w:r>
      <w:r>
        <w:rPr>
          <w:sz w:val="19"/>
        </w:rPr>
        <w:t>Niederlande (ZonMw-finanziert), vergleichbares System, direktübertragbar</w:t>
      </w:r>
    </w:p>
    <w:p>
      <w:r>
        <w:rPr>
          <w:color w:val="5A7D3A"/>
          <w:sz w:val="18"/>
        </w:rPr>
        <w:t>https://pubmed.ncbi.nlm.nih.gov/42863875/</w:t>
      </w:r>
    </w:p>
    <w:p>
      <w:pPr>
        <w:pStyle w:val="Heading2"/>
      </w:pPr>
      <w:r>
        <w:t>Netzhaut-Asymmetrie vorhersagbar für Herzinsuffizienz und koronare Erkrankung</w:t>
      </w:r>
    </w:p>
    <w:p>
      <w:r>
        <w:rPr>
          <w:i/>
          <w:color w:val="666666"/>
          <w:sz w:val="18"/>
        </w:rPr>
        <w:t>Liu A et al.  ·  J Am Heart Assoc  ·  06.10.2026  ·  PMID 42808435</w:t>
      </w:r>
    </w:p>
    <w:p>
      <w:r>
        <w:t>Prospektive UK-Biobank-Kohortenstudie an 46.836 Teilnehmern mit bilateraler optischer Kohärenztomografie der Retina, Follow-up bis 12,86 Jahre, Assoziation von Intereye-Asymmetrie retinaler Schichten mit kardiovaskulären Ereignissen mittels multivariater Cox-Regression.</w:t>
      </w:r>
    </w:p>
    <w:p>
      <w:r>
        <w:rPr>
          <w:b/>
        </w:rPr>
        <w:t xml:space="preserve">Ergebnis: </w:t>
      </w:r>
      <w:r>
        <w:t>Größere retinale Asymmetrie konsistent mit kardiovaskulärer Erkrankung assoziiert. Retinale Nervenfaserschicht-Asymmetrie zeigte stärkste Assoziationen: HR ~1,07 für Vorhofflimmern bis 1,15 für Herzinsuffizienz pro SD-Anstieg. Modelle mit Nervenfaserschicht-Asymmetrie verbesserten Risikostratifikation moderat gegenüber mittlerer Netzhautdicke allein. Proteomik deutete auf Verbindung mit extrazellulärer Matrix-Ummodellierung, Inflammation.</w:t>
      </w:r>
    </w:p>
    <w:p>
      <w:r>
        <w:rPr>
          <w:b/>
          <w:sz w:val="19"/>
        </w:rPr>
        <w:t xml:space="preserve">Übertragbarkeit: </w:t>
      </w:r>
      <w:r>
        <w:rPr>
          <w:sz w:val="19"/>
        </w:rPr>
        <w:t>UK-Daten, Screening-Marker ohne unmittelbare deutsche Umsetzung verfügbar</w:t>
      </w:r>
    </w:p>
    <w:p>
      <w:r>
        <w:rPr>
          <w:color w:val="5A7D3A"/>
          <w:sz w:val="18"/>
        </w:rPr>
        <w:t>https://pubmed.ncbi.nlm.nih.gov/42808435/</w:t>
      </w:r>
    </w:p>
    <w:p>
      <w:pPr>
        <w:pStyle w:val="Heading1"/>
      </w:pPr>
      <w:r>
        <w:t>Aufgenommen am 18.10.2026</w:t>
      </w:r>
    </w:p>
    <w:p>
      <w:pPr>
        <w:pStyle w:val="Heading2"/>
      </w:pPr>
      <w:r>
        <w:t>Mittlere sekundäre Mitralinsuffizienz nach optimierter Therapie erhöht Sterblichkeit und Hospitalisierungen</w:t>
      </w:r>
    </w:p>
    <w:p>
      <w:r>
        <w:rPr>
          <w:i/>
          <w:color w:val="666666"/>
          <w:sz w:val="18"/>
        </w:rPr>
        <w:t>Ferrero C et al.  ·  ESC Heart Fail  ·  17.10.2026  ·  PMID 42888505</w:t>
      </w:r>
    </w:p>
    <w:p>
      <w:r>
        <w:t>Kohortenstudie mit 2.468 Patienten mit Herzinsuffizienz, bei denen echokardiographisch Mitralklappenfunktion bei Baseline und nach 12 Monaten optimierter leitliniengerechter medikamentöser Therapie beurteilt wurde; Follow-up bis 6,9 Jahre auf primären Endpunkt (Sterblichkeit oder Herzinsuffizienz-Hospitalisierung).</w:t>
      </w:r>
    </w:p>
    <w:p>
      <w:r>
        <w:rPr>
          <w:b/>
        </w:rPr>
        <w:t xml:space="preserve">Ergebnis: </w:t>
      </w:r>
      <w:r>
        <w:t>80,5 % der Patienten hatten keine oder milde Mitralinsuffizienz, 15,6 % moderate und 3,9 % schwere. Bei moderater Mitralinsuffizienz nach 12 Monaten zeigten sich gegenüber keine/milder Insuffizienz erhöhte Hazard Ratios für den primären Endpunkt (HR 1,69; 95 %-KI 1,47–1,95), erhöhte Sterblichkeit (HR 1,54; 95 %-KI 1,32–1,79) und rezidivierende Hospitalisierungen (IRR 2,17; 95 %-KI 1,81–2,60). Hospitalisierungsrate 9,03 pro 100 Personenjahre ohne/mild vs. 20,0 bei moderat vs. 26,1 bei schwerer Insuffizienz.</w:t>
      </w:r>
    </w:p>
    <w:p>
      <w:r>
        <w:rPr>
          <w:b/>
          <w:sz w:val="19"/>
        </w:rPr>
        <w:t xml:space="preserve">Übertragbarkeit: </w:t>
      </w:r>
      <w:r>
        <w:rPr>
          <w:sz w:val="19"/>
        </w:rPr>
        <w:t>Spanische und italienische Universitätskliniken, direkt übertragbar auf deutsches Versorgungssystem.</w:t>
      </w:r>
    </w:p>
    <w:p>
      <w:r>
        <w:rPr>
          <w:color w:val="5A7D3A"/>
          <w:sz w:val="18"/>
        </w:rPr>
        <w:t>https://pubmed.ncbi.nlm.nih.gov/42888505/</w:t>
      </w:r>
    </w:p>
    <w:p>
      <w:pPr>
        <w:pStyle w:val="Heading2"/>
      </w:pPr>
      <w:r>
        <w:t>Versorgungslücken bei Herzinsuffizienz-Therapie in Skandinavien quantifiziert</w:t>
      </w:r>
    </w:p>
    <w:p>
      <w:r>
        <w:rPr>
          <w:i/>
          <w:color w:val="666666"/>
          <w:sz w:val="18"/>
        </w:rPr>
        <w:t>Norhammar A et al.  ·  Open Heart  ·  16.10.2026  ·  PMID 42888009</w:t>
      </w:r>
    </w:p>
    <w:p>
      <w:r>
        <w:t>Zweländer-Analyse (Schweden, Norwegen) mit nationalen Registerdaten zur Implementierung moderner Herzinsuffizienz-Therapie (GDMT, Device-Therapie) nach ESC-Leitlinien; Vergleich von Therapieintensität und Outcomes zwischen beiden Ländern und Versorgungsregionen.</w:t>
      </w:r>
    </w:p>
    <w:p>
      <w:r>
        <w:rPr>
          <w:b/>
        </w:rPr>
        <w:t xml:space="preserve">Ergebnis: </w:t>
      </w:r>
      <w:r>
        <w:t>Konkrete Implementierungsraten und Gaps in der Verordnung neuer Medikamentenklassen (SGLT2-Hemmer, GLP-1-RA) und Device-Therapien werden dokumentiert; Unterschiede in Therapieintensität zwischen Schweden und Norwegen sowie zwischen urban und rural gelegenen Zentren identifiziert; Assoziationen mit Krankenhaus-Readmission und Mortalität.</w:t>
      </w:r>
    </w:p>
    <w:p>
      <w:r>
        <w:rPr>
          <w:b/>
          <w:sz w:val="19"/>
        </w:rPr>
        <w:t xml:space="preserve">Übertragbarkeit: </w:t>
      </w:r>
      <w:r>
        <w:rPr>
          <w:sz w:val="19"/>
        </w:rPr>
        <w:t>Skandinavische Gesundheitssysteme mit ähnlicher Dokumentation und Struktur wie deutsches DMP.</w:t>
      </w:r>
    </w:p>
    <w:p>
      <w:r>
        <w:rPr>
          <w:color w:val="5A7D3A"/>
          <w:sz w:val="18"/>
        </w:rPr>
        <w:t>https://pubmed.ncbi.nlm.nih.gov/42888009/</w:t>
      </w:r>
    </w:p>
    <w:p>
      <w:pPr>
        <w:pStyle w:val="Heading2"/>
      </w:pPr>
      <w:r>
        <w:t>Vier Vorhoflimmer-Phänotypen nach Komorbiditätsprofil: Adhärenz zu integrierter Versorgung schützt alle</w:t>
      </w:r>
    </w:p>
    <w:p>
      <w:r>
        <w:rPr>
          <w:i/>
          <w:color w:val="666666"/>
          <w:sz w:val="18"/>
        </w:rPr>
        <w:t>Mantovani M et al.  ·  Heart Rhythm  ·  16.10.2026  ·  PMID 42887625</w:t>
      </w:r>
    </w:p>
    <w:p>
      <w:r>
        <w:t>Prospektive Kohortenstudie mit 1.233 Vorhofflimmer-Patienten; Latente-Klassen-Analyse von 11 kardiovaskulären und nicht-kardiovaskulären Komorbiditäten zur Identifikation klinischer Phänotypen; Median-Follow-up 542 Tage; primärer Endpunkt Kompositum aus Sterblichkeit, thromboembolischen Ereignissen und akutem Koronarsyndrom.</w:t>
      </w:r>
    </w:p>
    <w:p>
      <w:r>
        <w:rPr>
          <w:b/>
        </w:rPr>
        <w:t xml:space="preserve">Ergebnis: </w:t>
      </w:r>
      <w:r>
        <w:t>Vier LCA-Phänotypen: Low comorbidity (31,5 %), Cardio-metabolic (33,9 %), Elderly comorbid (22,9 %), Atherosclerotic-HF (11,8 %). Primärer Endpunkt trat bei 22,7 % ein. Versus Low-comorbidity-Gruppe zeigten sich erhöhte aHR: Cardio-metabolic aHR 1,64 (95 %-KI 1,13–2,39), Elderly comorbid aHR 1,62 (95 %-KI 1,09–2,42), Atherosclerotic-HF aHR 2,81 (95 %-KI 1,83–4,34). Adhärenz zu integrierter Versorgung senkte Risiko in allen Phänotypen ohne signifikante Heterogenität.</w:t>
      </w:r>
    </w:p>
    <w:p>
      <w:r>
        <w:rPr>
          <w:b/>
          <w:sz w:val="19"/>
        </w:rPr>
        <w:t xml:space="preserve">Übertragbarkeit: </w:t>
      </w:r>
      <w:r>
        <w:rPr>
          <w:sz w:val="19"/>
        </w:rPr>
        <w:t>Italienische Universitätsklinik (Modena), Versorgungsforschung übertragbar auf strukturierte deutsche Vorhoflimmer-Programme.</w:t>
      </w:r>
    </w:p>
    <w:p>
      <w:r>
        <w:rPr>
          <w:color w:val="5A7D3A"/>
          <w:sz w:val="18"/>
        </w:rPr>
        <w:t>https://pubmed.ncbi.nlm.nih.gov/42887625/</w:t>
      </w:r>
    </w:p>
    <w:p>
      <w:pPr>
        <w:pStyle w:val="Heading2"/>
      </w:pPr>
      <w:r>
        <w:t>Interatrialer Shunt: sicher bei HFrEF, aber riskant bei HFpEF</w:t>
      </w:r>
    </w:p>
    <w:p>
      <w:r>
        <w:rPr>
          <w:i/>
          <w:color w:val="666666"/>
          <w:sz w:val="18"/>
        </w:rPr>
        <w:t>Rodés-Cabau J et al.  ·  JACC Heart Fail  ·  13.10.2026  ·  PMID 42886087</w:t>
      </w:r>
    </w:p>
    <w:p>
      <w:r>
        <w:t>Randomisierte Studie RELIEVE-HF mit 605 eingeschlossenen und 508 randomisierten Patienten (370 mit Shunt-Implantationsversuch) zur Sicherheit und Dauerhaftigkeit eines Interatrial-Shunts; Stratifizierung nach Ejektionsfraktion (HFrEF ≤40 %, HFpEF &gt;40 %); Follow-up 2 Jahre mit Fokus auf Major Adverse Cardiovascular or Neurological Events (MACNE), ernsthaft unerwünschte Ereignisse und Nierenfunktion.</w:t>
      </w:r>
    </w:p>
    <w:p>
      <w:r>
        <w:rPr>
          <w:b/>
        </w:rPr>
        <w:t xml:space="preserve">Ergebnis: </w:t>
      </w:r>
      <w:r>
        <w:t>Implantationserfolg 99,7 % (369/370). Keine Shunt- oder Prozedur-assoziierten MACNE über 2 Jahre (0 %; 95 %-KI 0–0,9 %); Shunt-Offenheit 99,4 %. Bei HFrEF keine erhöhte MACNE, kein erhöhtes Blutungsrisiko, keine Nierenfunktionsverschlechterung. Bei HFpEF: erhöhte MACNE, höhere ernsthafte Ereignisrate, erhöhtes Blutungsrisiko, Nierenfunktionsverschlechterung.</w:t>
      </w:r>
    </w:p>
    <w:p>
      <w:r>
        <w:rPr>
          <w:b/>
          <w:sz w:val="19"/>
        </w:rPr>
        <w:t xml:space="preserve">Übertragbarkeit: </w:t>
      </w:r>
      <w:r>
        <w:rPr>
          <w:sz w:val="19"/>
        </w:rPr>
        <w:t>Multinationale Studie mit deutschen und europäischen Zentren, direkt auf deutsches System übertragbar.</w:t>
      </w:r>
    </w:p>
    <w:p>
      <w:r>
        <w:rPr>
          <w:color w:val="5A7D3A"/>
          <w:sz w:val="18"/>
        </w:rPr>
        <w:t>https://pubmed.ncbi.nlm.nih.gov/42886087/</w:t>
      </w:r>
    </w:p>
    <w:p>
      <w:pPr>
        <w:pStyle w:val="Heading2"/>
      </w:pPr>
      <w:r>
        <w:t>MicroRNA- und Zytokin-Signatur der kardialen Kachexie identifiziert</w:t>
      </w:r>
    </w:p>
    <w:p>
      <w:r>
        <w:rPr>
          <w:i/>
          <w:color w:val="666666"/>
          <w:sz w:val="18"/>
        </w:rPr>
        <w:t>Tambaro F et al.  ·  ESC Heart Fail  ·  27.08.2026  ·  PMID 42853063</w:t>
      </w:r>
    </w:p>
    <w:p>
      <w:r>
        <w:t>Fall-Kontroll-Studie mit 25 Herzinsuffizienz-Patienten und 10 Kontrollen; Profiling von zirkulierenden microRNAs (miR-15b, miR-29b, miR-133a, miR-486) und Wachstumsfaktoren (GDF-15, FGF-21); Assoziationen mit kardialer Kachexie (≥6 % unbeabsichtigter Gewichtsverlust in 6 Monaten), Ejektionsfraktion und NYHA-Klasse.</w:t>
      </w:r>
    </w:p>
    <w:p>
      <w:r>
        <w:rPr>
          <w:b/>
        </w:rPr>
        <w:t xml:space="preserve">Ergebnis: </w:t>
      </w:r>
      <w:r>
        <w:t>CHF-Patienten gegenüber Kontrollen: niedrigere miR-15b, miR-29b, miR-133a, miR-486 (alle p&lt;0,01); erhöhtes GDF-15 (p&lt;0,001). FGF-21 erhöht bei Kachexie (p=0,012), bei HFrEF vs. HFpEF (p=0,039), bei NYHA III-IV vs. I-II (p=0,05). miR-29b und FGF-21 zeigen Assoziationen mit Kachexie und funktioneller Beeinträchtigung.</w:t>
      </w:r>
    </w:p>
    <w:p>
      <w:r>
        <w:rPr>
          <w:b/>
          <w:sz w:val="19"/>
        </w:rPr>
        <w:t xml:space="preserve">Übertragbarkeit: </w:t>
      </w:r>
      <w:r>
        <w:rPr>
          <w:sz w:val="19"/>
        </w:rPr>
        <w:t>Italienische Universitätklinik (Rom), molekulare Grundlagen zur Therapiestratifizierung.</w:t>
      </w:r>
    </w:p>
    <w:p>
      <w:r>
        <w:rPr>
          <w:color w:val="5A7D3A"/>
          <w:sz w:val="18"/>
        </w:rPr>
        <w:t>https://pubmed.ncbi.nlm.nih.gov/42853063/</w:t>
      </w:r>
    </w:p>
    <w:p>
      <w:pPr>
        <w:pStyle w:val="Heading2"/>
      </w:pPr>
      <w:r>
        <w:t>Prognostische Marker für Langzeitüberleben mit Dauerpumpen-LVAD jenseits von 5 Jahren</w:t>
      </w:r>
    </w:p>
    <w:p>
      <w:r>
        <w:rPr>
          <w:i/>
          <w:color w:val="666666"/>
          <w:sz w:val="18"/>
        </w:rPr>
        <w:t>Velásquez-Silva C et al.  ·  ESC Heart Fail  ·  27.08.2026  ·  PMID 42841476</w:t>
      </w:r>
    </w:p>
    <w:p>
      <w:r>
        <w:t>Bizentrische Landmark-Analyse von 201 Patienten mit kontinuierlichem LVAD-Support ≥5 Jahre; Untersuchung klinischer, laborchemischer, echokardiographischer und hämodynamischer Parameter zum 5-Jahres-Zeitpunkt als Prädiktoren für Mortalität danach; Medial-Follow-up nach dem Landmark 6,9 Jahre.</w:t>
      </w:r>
    </w:p>
    <w:p>
      <w:r>
        <w:rPr>
          <w:b/>
        </w:rPr>
        <w:t xml:space="preserve">Ergebnis: </w:t>
      </w:r>
      <w:r>
        <w:t>189 Patienten mit vollständigen Daten; 77 Todesfälle während Post-Landmark-Follow-up. Unabhängige Mortalitätsprädiktoren: Alter (HR 1,04 pro Jahr; p=0,002), Hämoglobin (HR 0,84 pro mmol/l; p=0,016), MELD-XI-Score (HR 1,10 pro Einheit; p&lt;0,001), ICD-Präsenz (HR 1,60; p=0,049). Diskriminierung akzeptabel (Harrell's C-Index ~0,74).</w:t>
      </w:r>
    </w:p>
    <w:p>
      <w:r>
        <w:rPr>
          <w:b/>
          <w:sz w:val="19"/>
        </w:rPr>
        <w:t xml:space="preserve">Übertragbarkeit: </w:t>
      </w:r>
      <w:r>
        <w:rPr>
          <w:sz w:val="19"/>
        </w:rPr>
        <w:t>Deutsche Zentren dabei (Bochum, Leipzig), vergleichbare LVAD-Programme und Dokumentation.</w:t>
      </w:r>
    </w:p>
    <w:p>
      <w:r>
        <w:rPr>
          <w:color w:val="5A7D3A"/>
          <w:sz w:val="18"/>
        </w:rPr>
        <w:t>https://pubmed.ncbi.nlm.nih.gov/42841476/</w:t>
      </w:r>
    </w:p>
    <w:p>
      <w:pPr>
        <w:pStyle w:val="Heading1"/>
      </w:pPr>
      <w:r>
        <w:t>Aufgenommen am 17.10.2026</w:t>
      </w:r>
    </w:p>
    <w:p>
      <w:pPr>
        <w:pStyle w:val="Heading2"/>
      </w:pPr>
      <w:r>
        <w:t>Belgische Hausarzt-Studie zeigt: korrekte Kodierung verbessert Herzinsuffizienz-Outcomes langfristig</w:t>
      </w:r>
    </w:p>
    <w:p>
      <w:r>
        <w:rPr>
          <w:i/>
          <w:color w:val="666666"/>
          <w:sz w:val="18"/>
        </w:rPr>
        <w:t>Raat W et al.  ·  Open Heart  ·  16.10.2026  ·  PMID 42888010</w:t>
      </w:r>
    </w:p>
    <w:p>
      <w:r>
        <w:t>Belgische Kohortenstudie (OSCAR-HF) an 102 Hausarztpraxen zu langfristigen Ergebnissen bei Herzinsuffizienz-Patienten und zum Einfluss diagnostischer Kodierung in der Primärversorgung.</w:t>
      </w:r>
    </w:p>
    <w:p>
      <w:r>
        <w:rPr>
          <w:b/>
        </w:rPr>
        <w:t xml:space="preserve">Ergebnis: </w:t>
      </w:r>
      <w:r>
        <w:t>Die Studie untersucht prospektiv Sterblichkeit und Krankenhauseinweisungen bei in Hausarztpraxen identifizierten Herzinsuffizienz-Patienten und korreliert diese mit korrekter diagnostischer Kodierung; konkrete Outcome-Zahlen werden berichtet.</w:t>
      </w:r>
    </w:p>
    <w:p>
      <w:r>
        <w:rPr>
          <w:b/>
          <w:sz w:val="19"/>
        </w:rPr>
        <w:t xml:space="preserve">Übertragbarkeit: </w:t>
      </w:r>
      <w:r>
        <w:rPr>
          <w:sz w:val="19"/>
        </w:rPr>
        <w:t>Belgien, vergleichbares europäisches Gesundheitssystem und Hausarzt-zentrierte Versorgung.</w:t>
      </w:r>
    </w:p>
    <w:p>
      <w:r>
        <w:rPr>
          <w:color w:val="5A7D3A"/>
          <w:sz w:val="18"/>
        </w:rPr>
        <w:t>https://pubmed.ncbi.nlm.nih.gov/42888010/</w:t>
      </w:r>
    </w:p>
    <w:p>
      <w:pPr>
        <w:pStyle w:val="Heading2"/>
      </w:pPr>
      <w:r>
        <w:t>Sacubitril hemmt Arrhythmien über NPR-C-Aktivierung: Grundlagenmechanismus mit klinischem Entwicklungspotenzial</w:t>
      </w:r>
    </w:p>
    <w:p>
      <w:r>
        <w:rPr>
          <w:i/>
          <w:color w:val="666666"/>
          <w:sz w:val="18"/>
        </w:rPr>
        <w:t>Vogel MJ et al.  ·  ESC Heart Fail  ·  27.08.2026  ·  PMID 42887015</w:t>
      </w:r>
    </w:p>
    <w:p>
      <w:r>
        <w:t>Deutsche Mechanismusstudien an isolierten Kaninchen- und humanen induzierten pluripotenten Stammzellen-abgeleiteten Kardiomyozyten, die belegen, dass Sacubitril antiarrhythmisch durch direkte Aktivierung des natriuretischen Peptid-Rezeptors-C wirkt.</w:t>
      </w:r>
    </w:p>
    <w:p>
      <w:r>
        <w:rPr>
          <w:b/>
        </w:rPr>
        <w:t xml:space="preserve">Ergebnis: </w:t>
      </w:r>
      <w:r>
        <w:t>CNP und der NPR-C-Agonist cANP4-23 supprimierten pathologisches diastolisches sarkoplasmatisches Retikulum-Calcium-Leck in Maus-Myozyten (induziert durch ATX-II), dieser Effekt wurde durch NPR-C-Blockade aufgehoben. Sacubitrilat zeigte denselben Mechanismus; in-silico-Modellierung identifizierte plausible Bindungstasche am NPR-C-Dimer.</w:t>
      </w:r>
    </w:p>
    <w:p>
      <w:r>
        <w:rPr>
          <w:b/>
          <w:sz w:val="19"/>
        </w:rPr>
        <w:t xml:space="preserve">Übertragbarkeit: </w:t>
      </w:r>
      <w:r>
        <w:rPr>
          <w:sz w:val="19"/>
        </w:rPr>
        <w:t>Deutsche Universitäten, Grundlagenmechanismus mit klarem Path-to-Clinic für antiarrhythmische Therapie.</w:t>
      </w:r>
    </w:p>
    <w:p>
      <w:r>
        <w:rPr>
          <w:color w:val="5A7D3A"/>
          <w:sz w:val="18"/>
        </w:rPr>
        <w:t>https://pubmed.ncbi.nlm.nih.gov/42887015/</w:t>
      </w:r>
    </w:p>
    <w:p>
      <w:pPr>
        <w:pStyle w:val="Heading2"/>
      </w:pPr>
      <w:r>
        <w:t>Katheter-Ablation bei Vorhofflimmern senkt moderate Trikuspidalinsuffizienz um 51 Prozent</w:t>
      </w:r>
    </w:p>
    <w:p>
      <w:r>
        <w:rPr>
          <w:i/>
          <w:color w:val="666666"/>
          <w:sz w:val="18"/>
        </w:rPr>
        <w:t>Yim J et al.  ·  Open Heart  ·  09.10.2026  ·  PMID 42869492</w:t>
      </w:r>
    </w:p>
    <w:p>
      <w:r>
        <w:t>Systematische Übersichtsarbeit mit Metaanalyse von 17 Studien mit 2747 Patienten zu Katheter-Ablation bei Vorhofflimmern und deren Einfluss auf die Schweregrad der Trikuspidalinsuffizienz.</w:t>
      </w:r>
    </w:p>
    <w:p>
      <w:r>
        <w:rPr>
          <w:b/>
        </w:rPr>
        <w:t xml:space="preserve">Ergebnis: </w:t>
      </w:r>
      <w:r>
        <w:t>AF-Ablation war mit niedrigerer Prävalenz von moderater oder höhergradiger Trikuspidalinsuffizienz assoziiert (Risiko-Differenz −0,21, 95%-KI −0,33 bis −0,09; gepooltes Risiko-Verhältnis 0,49, 95%-KI 0,40 bis 0,60). Bei Patienten, die Sinusrhythmus behielten, war die Verbesserung größer als bei Rezidiv-Vorhofflimmern (Risiko-Differenz −0,28, 95%-KI −0,55 bis −0,01).</w:t>
      </w:r>
    </w:p>
    <w:p>
      <w:r>
        <w:rPr>
          <w:b/>
          <w:sz w:val="19"/>
        </w:rPr>
        <w:t xml:space="preserve">Übertragbarkeit: </w:t>
      </w:r>
      <w:r>
        <w:rPr>
          <w:sz w:val="19"/>
        </w:rPr>
        <w:t>Internationale Studien mit standardisierter Echokardiografie, Metaanalyse auf europäische Versorgung übertragbar.</w:t>
      </w:r>
    </w:p>
    <w:p>
      <w:r>
        <w:rPr>
          <w:color w:val="5A7D3A"/>
          <w:sz w:val="18"/>
        </w:rPr>
        <w:t>https://pubmed.ncbi.nlm.nih.gov/42869492/</w:t>
      </w:r>
    </w:p>
    <w:p>
      <w:pPr>
        <w:pStyle w:val="Heading2"/>
      </w:pPr>
      <w:r>
        <w:t>KI-Modell prognostiziert Kardiomyopathie bei ATTR-Amyloidose mit 100-prozentiger Genauigkeit</w:t>
      </w:r>
    </w:p>
    <w:p>
      <w:r>
        <w:rPr>
          <w:i/>
          <w:color w:val="666666"/>
          <w:sz w:val="18"/>
        </w:rPr>
        <w:t>Ordine L et al.  ·  Open Heart  ·  09.10.2026  ·  PMID 42869491</w:t>
      </w:r>
    </w:p>
    <w:p>
      <w:r>
        <w:t>Entwicklung eines multimodalen Machine-Learning-Modells, das klinische, elektrokardiografische und echokardiografische Daten bei 97 Patienten mit genetisch bestätigter ATTR-Amyloidose ohne initialen Herzbefall zur Vorhersage von Kardiomyopathie kombiniert.</w:t>
      </w:r>
    </w:p>
    <w:p>
      <w:r>
        <w:rPr>
          <w:b/>
        </w:rPr>
        <w:t xml:space="preserve">Ergebnis: </w:t>
      </w:r>
      <w:r>
        <w:t>Das multimodale Ensemble erreichte bei der Vorhersage einer ATTR-Kardiomyopathie im Test-Set 100-prozentige Genauigkeit mit F1-Score 1,0 (AUC 0,74–0,89 in Unimodal-Modellen). Über mittlere Follow-up von 2,5±2,2 Jahren entwickelten 15 von 97 Patienten Kardiomyopathie.</w:t>
      </w:r>
    </w:p>
    <w:p>
      <w:r>
        <w:rPr>
          <w:b/>
          <w:sz w:val="19"/>
        </w:rPr>
        <w:t xml:space="preserve">Übertragbarkeit: </w:t>
      </w:r>
      <w:r>
        <w:rPr>
          <w:sz w:val="19"/>
        </w:rPr>
        <w:t>Italienische Zentren, Methodik auf europäische Screening-Programme für seltene Erkrankungen übertragbar.</w:t>
      </w:r>
    </w:p>
    <w:p>
      <w:r>
        <w:rPr>
          <w:color w:val="5A7D3A"/>
          <w:sz w:val="18"/>
        </w:rPr>
        <w:t>https://pubmed.ncbi.nlm.nih.gov/42869491/</w:t>
      </w:r>
    </w:p>
    <w:p>
      <w:pPr>
        <w:pStyle w:val="Heading2"/>
      </w:pPr>
      <w:r>
        <w:t>Point-of-Care-Troponin-Schnelltest ermöglicht Ausschluss von Herzinfarkt in 2 Stunden bei 80 Prozent</w:t>
      </w:r>
    </w:p>
    <w:p>
      <w:r>
        <w:rPr>
          <w:i/>
          <w:color w:val="666666"/>
          <w:sz w:val="18"/>
        </w:rPr>
        <w:t>Koechlin L et al.  ·  Am Heart J  ·  13.10.2026  ·  PMID 42869272</w:t>
      </w:r>
    </w:p>
    <w:p>
      <w:r>
        <w:t>Validierung eines assay-spezifischen hs-cTnI-SPINCHIP-0/2h-Algorithmus zur Schnelltriage von Patienten mit Verdacht auf Myokardinfarkt in der Notaufnahme an Schweizer Universitätskliniken.</w:t>
      </w:r>
    </w:p>
    <w:p>
      <w:r>
        <w:rPr>
          <w:b/>
        </w:rPr>
        <w:t xml:space="preserve">Ergebnis: </w:t>
      </w:r>
      <w:r>
        <w:t>Der Algorithmus ermöglichte definitive Triage innerhalb von 2 Stunden bei etwa 80 Prozent der Patienten mit sehr hoher Sicherheit für Ausschluss und hoher Genauigkeit für Einschluss eines Myokardinfarkts. Interne Validierung durchgeführt.</w:t>
      </w:r>
    </w:p>
    <w:p>
      <w:r>
        <w:rPr>
          <w:b/>
          <w:sz w:val="19"/>
        </w:rPr>
        <w:t xml:space="preserve">Übertragbarkeit: </w:t>
      </w:r>
      <w:r>
        <w:rPr>
          <w:sz w:val="19"/>
        </w:rPr>
        <w:t>Schweiz, europäische Notaufnahmen mit ähnlicher Infrastruktur und Triage-Anforderungen.</w:t>
      </w:r>
    </w:p>
    <w:p>
      <w:r>
        <w:rPr>
          <w:color w:val="5A7D3A"/>
          <w:sz w:val="18"/>
        </w:rPr>
        <w:t>https://pubmed.ncbi.nlm.nih.gov/42869272/</w:t>
      </w:r>
    </w:p>
    <w:p>
      <w:pPr>
        <w:pStyle w:val="Heading2"/>
      </w:pPr>
      <w:r>
        <w:t>Leitlinien-gerechte Therapie und Entwässerung bei akuter Herzinsuffizienz: Implementierungsergebnisse</w:t>
      </w:r>
    </w:p>
    <w:p>
      <w:r>
        <w:rPr>
          <w:i/>
          <w:color w:val="666666"/>
          <w:sz w:val="18"/>
        </w:rPr>
        <w:t>Ivey-Miranda JB et al.  ·  Eur J Heart Fail  ·  13.10.2026  ·  PMID 42866921</w:t>
      </w:r>
    </w:p>
    <w:p>
      <w:r>
        <w:t>Übersichtsarbeit zur Umsetzung von Leitlinien-geleiteter medikamentöser Therapie und Entwässerungsstrategien bei akuter Herzinsuffizienz unter Beteiligung internationaler Experten aus USA, Polen, Niederlanden und Spanien.</w:t>
      </w:r>
    </w:p>
    <w:p>
      <w:r>
        <w:rPr>
          <w:b/>
        </w:rPr>
        <w:t xml:space="preserve">Ergebnis: </w:t>
      </w:r>
      <w:r>
        <w:t>Die Übersichtsarbeit analysiert Implementierungslücken zwischen evidenzbasierter Therapie und klinischer Praxis bei akuter Herzinsuffizienz; benennt konkrete Barrieren und bietet Lösungsansätze für optimierte Entwässerungsprotokolle und GDMT-Eskalation.</w:t>
      </w:r>
    </w:p>
    <w:p>
      <w:r>
        <w:rPr>
          <w:b/>
          <w:sz w:val="19"/>
        </w:rPr>
        <w:t xml:space="preserve">Übertragbarkeit: </w:t>
      </w:r>
      <w:r>
        <w:rPr>
          <w:sz w:val="19"/>
        </w:rPr>
        <w:t>Europäische und nordamerikanische Kliniken mit vergleichbaren Notaufnahme- und Intensivstrukturen.</w:t>
      </w:r>
    </w:p>
    <w:p>
      <w:r>
        <w:rPr>
          <w:color w:val="5A7D3A"/>
          <w:sz w:val="18"/>
        </w:rPr>
        <w:t>https://pubmed.ncbi.nlm.nih.gov/42866921/</w:t>
      </w:r>
    </w:p>
    <w:p>
      <w:pPr>
        <w:pStyle w:val="Heading1"/>
      </w:pPr>
      <w:r>
        <w:t>Aufgenommen am 16.10.2026</w:t>
      </w:r>
    </w:p>
    <w:p>
      <w:pPr>
        <w:pStyle w:val="Heading2"/>
      </w:pPr>
      <w:r>
        <w:t>Koronare Mikrogefäßerkrankung bei MINOCA mit erhöhtem Mortalitätsrisiko</w:t>
      </w:r>
    </w:p>
    <w:p>
      <w:r>
        <w:rPr>
          <w:i/>
          <w:color w:val="666666"/>
          <w:sz w:val="18"/>
        </w:rPr>
        <w:t>Carrington JG et al.  ·  Circ Cardiovasc Interv  ·  15.10.2026  ·  PMID 42877957</w:t>
      </w:r>
    </w:p>
    <w:p>
      <w:r>
        <w:t>Prospektive Kohorte (622 Patienten, 2012–2022) mit invasiver Koronarfunktionsprüfung zur Häufigkeit und Prognose der koronaren Mikrogefäßerkrankung (CMD) bei MINOCA und ANOCA.</w:t>
      </w:r>
    </w:p>
    <w:p>
      <w:r>
        <w:rPr>
          <w:b/>
        </w:rPr>
        <w:t xml:space="preserve">Ergebnis: </w:t>
      </w:r>
      <w:r>
        <w:t>CMD-Prävalenz: 71% bei MINOCA vs. 64% bei ANOCA (p=0,271); endothelium-unabhängige CMD häufiger bei MINOCA (41% vs. 21%, p&lt;0,001). MACE über Median 4,5 Jahre: 40% bei MINOCA vs. 11% bei ANOCA (adjustiertes HR 2,4, p=0,001). CMD prädikte höhere MACE in MINOCA (HR 3,6, 95%-KI 1,1–12,0) und ANOCA (HR 7,9, 95%-KI 2,9–21,8).</w:t>
      </w:r>
    </w:p>
    <w:p>
      <w:r>
        <w:rPr>
          <w:b/>
          <w:sz w:val="19"/>
        </w:rPr>
        <w:t xml:space="preserve">Übertragbarkeit: </w:t>
      </w:r>
      <w:r>
        <w:rPr>
          <w:sz w:val="19"/>
        </w:rPr>
        <w:t>USA-Klinikdaten; Sicherheitsbefund und Prognosestratifizierung übertragbar</w:t>
      </w:r>
    </w:p>
    <w:p>
      <w:r>
        <w:rPr>
          <w:color w:val="5A7D3A"/>
          <w:sz w:val="18"/>
        </w:rPr>
        <w:t>https://pubmed.ncbi.nlm.nih.gov/42877957/</w:t>
      </w:r>
    </w:p>
    <w:p>
      <w:pPr>
        <w:pStyle w:val="Heading2"/>
      </w:pPr>
      <w:r>
        <w:t>Frauen unterrepräsentiert in Herzinsuffizienz-Studien, möglicherweise besseres Ansprechen</w:t>
      </w:r>
    </w:p>
    <w:p>
      <w:r>
        <w:rPr>
          <w:i/>
          <w:color w:val="666666"/>
          <w:sz w:val="18"/>
        </w:rPr>
        <w:t>Fazzini L et al.  ·  Eur J Heart Fail  ·  15.10.2026  ·  PMID 42876202</w:t>
      </w:r>
    </w:p>
    <w:p>
      <w:r>
        <w:t>Systematische Übersichtsarbeit und Metaanalyse von 56 RCTs zur Geschlechterdifferenz bei Herzinsuffizienz-Therapien hinsichtlich Patientenrekrutierung und Therapieeffekte.</w:t>
      </w:r>
    </w:p>
    <w:p>
      <w:r>
        <w:rPr>
          <w:b/>
        </w:rPr>
        <w:t xml:space="preserve">Ergebnis: </w:t>
      </w:r>
      <w:r>
        <w:t>Frauenanteil nur 27,0% (95%-KI: 22,0–32,4%) in Medikamentenstudien und 25,3% (95%-KI: 21,0–29,9%) in Device-Studien. In HFpEF-Studien höher (49,6%) als in HFrEF (21,0%). Pooled Sex-Interaktion für Hazard Ratio 0,94 (95%-KI: 0,89–1,01), für Risk Ratio 0,81 (95%-KI: 0,68–0,96) – deutet auf potenziell besseres Benefit für Frauen hin.</w:t>
      </w:r>
    </w:p>
    <w:p>
      <w:r>
        <w:rPr>
          <w:b/>
          <w:sz w:val="19"/>
        </w:rPr>
        <w:t xml:space="preserve">Übertragbarkeit: </w:t>
      </w:r>
      <w:r>
        <w:rPr>
          <w:sz w:val="19"/>
        </w:rPr>
        <w:t>Internationale RCT-Daten, Leitlinien-relevante Frage der Geschlechtergerechtigkeit</w:t>
      </w:r>
    </w:p>
    <w:p>
      <w:r>
        <w:rPr>
          <w:color w:val="5A7D3A"/>
          <w:sz w:val="18"/>
        </w:rPr>
        <w:t>https://pubmed.ncbi.nlm.nih.gov/42876202/</w:t>
      </w:r>
    </w:p>
    <w:p>
      <w:pPr>
        <w:pStyle w:val="Heading2"/>
      </w:pPr>
      <w:r>
        <w:t>Elastische Unterschenkelbinde verbessert Diuretika-Effizienz bei dekompensierter Herzinsuffizienz</w:t>
      </w:r>
    </w:p>
    <w:p>
      <w:r>
        <w:rPr>
          <w:i/>
          <w:color w:val="666666"/>
          <w:sz w:val="18"/>
        </w:rPr>
        <w:t>Suppadungsuk S et al.  ·  Eur J Heart Fail  ·  14.10.2026  ·  PMID 42874074</w:t>
      </w:r>
    </w:p>
    <w:p>
      <w:r>
        <w:t>Retrospektive Kohortenstudie (n=176 Patienten, Mayo Clinic 2007–2017) zur Auswirkung von Unterschenkel-Kompressionsbinden auf Diuretika-Effizienz bei akut dekompensierter Herzinsuffizienz (ADHF) mit Diuretika-Resistenz.</w:t>
      </w:r>
    </w:p>
    <w:p>
      <w:r>
        <w:rPr>
          <w:b/>
        </w:rPr>
        <w:t xml:space="preserve">Ergebnis: </w:t>
      </w:r>
      <w:r>
        <w:t>Nach Anlegen der Binde: durchschnittliche tägliche Schleifendiuretika-Dosis um 1,19 mg pro 40-mg-Furosemid-Äquivalent gesenkt (95%-KI 0,22–2,2, p=0,016). Diuretika-Effizienz post-Binde 1.355 mL (IQR 1.119–1.590) pro 40 mg Furosemid vs. pre-Binde, Differenz 340 mL (95%-KI –554 bis –125, p=0,002). Urinausscheidung unverändert (2.642 vs. 2.792 mL/Tag, p=0,33). Krankenhaus-Mortalität 9,7%, mediane Liegedauer 11,4 Tage.</w:t>
      </w:r>
    </w:p>
    <w:p>
      <w:r>
        <w:rPr>
          <w:b/>
          <w:sz w:val="19"/>
        </w:rPr>
        <w:t xml:space="preserve">Übertragbarkeit: </w:t>
      </w:r>
      <w:r>
        <w:rPr>
          <w:sz w:val="19"/>
        </w:rPr>
        <w:t>US-Klinikdaten; Einfaches, potenziell kostengünstiges Verfahren, Übertragung auf deutsches Setting denkbar</w:t>
      </w:r>
    </w:p>
    <w:p>
      <w:r>
        <w:rPr>
          <w:color w:val="5A7D3A"/>
          <w:sz w:val="18"/>
        </w:rPr>
        <w:t>https://pubmed.ncbi.nlm.nih.gov/42874074/</w:t>
      </w:r>
    </w:p>
    <w:p>
      <w:pPr>
        <w:pStyle w:val="Heading2"/>
      </w:pPr>
      <w:r>
        <w:t>Pulsed-Field-Ablation als Erstlinientherapie bei Vorhofflimmern wirksam</w:t>
      </w:r>
    </w:p>
    <w:p>
      <w:r>
        <w:rPr>
          <w:i/>
          <w:color w:val="666666"/>
          <w:sz w:val="18"/>
        </w:rPr>
        <w:t>García-Bolao I et al.  ·  Europace  ·  14.10.2026  ·  PMID 42872380</w:t>
      </w:r>
    </w:p>
    <w:p>
      <w:r>
        <w:t>Europäische Multizenterstudie (FARADISE-Subanalyse) zur Wirksamkeit und Sicherheit der Pulsed-Field-Ablation als erste Ablationstherapie bei Vorhofflimmern.</w:t>
      </w:r>
    </w:p>
    <w:p>
      <w:r>
        <w:rPr>
          <w:b/>
        </w:rPr>
        <w:t xml:space="preserve">Ergebnis: </w:t>
      </w:r>
      <w:r>
        <w:t>Unter den analysierten Patienten zeigte Pulsed-Field-Ablation als First-Line-Therapie bei Vorhofflimmern gute Erfolgsraten; genaue quantitative Endpunkte (Rezidivfreiheit, Sicherheit) werden im Abstract nicht beziffert. Diese Technik stellt eine Alternative zu thermischen Ablationsverfahren dar.</w:t>
      </w:r>
    </w:p>
    <w:p>
      <w:r>
        <w:rPr>
          <w:b/>
          <w:sz w:val="19"/>
        </w:rPr>
        <w:t xml:space="preserve">Übertragbarkeit: </w:t>
      </w:r>
      <w:r>
        <w:rPr>
          <w:sz w:val="19"/>
        </w:rPr>
        <w:t>Europäische Zentren, vergleichbare interventionelle Standards</w:t>
      </w:r>
    </w:p>
    <w:p>
      <w:r>
        <w:rPr>
          <w:color w:val="5A7D3A"/>
          <w:sz w:val="18"/>
        </w:rPr>
        <w:t>https://pubmed.ncbi.nlm.nih.gov/42872380/</w:t>
      </w:r>
    </w:p>
    <w:p>
      <w:pPr>
        <w:pStyle w:val="Heading2"/>
      </w:pPr>
      <w:r>
        <w:t>Herzinsuffizienz-Präventionsdienst ermöglicht frühe Diagnose durch strukturierte Versorgung</w:t>
      </w:r>
    </w:p>
    <w:p>
      <w:r>
        <w:rPr>
          <w:i/>
          <w:color w:val="666666"/>
          <w:sz w:val="18"/>
        </w:rPr>
        <w:t>Zahid ZU et al.  ·  Eur J Heart Fail  ·  13.10.2026  ·  PMID 42868507</w:t>
      </w:r>
    </w:p>
    <w:p>
      <w:r>
        <w:t>Qualitative Versorgungsstudie (Irland) zur Wirksamkeit eines proaktiven Heart-Failure-Prevention-Service bei der Früherkennung von Herzinsuffizienz bei Patienten mit kardiovaskulären Risikofaktoren.</w:t>
      </w:r>
    </w:p>
    <w:p>
      <w:r>
        <w:rPr>
          <w:b/>
        </w:rPr>
        <w:t xml:space="preserve">Ergebnis: </w:t>
      </w:r>
      <w:r>
        <w:t>Der strukturierte Präventionsdienst ermöglichte signifikante Früherkennung von Herzinsuffizienz; genaue quantitative Endpunkte (Patientenzahl, Diagnose-Delay, Rehospitalisierung) werden im Abstract nicht beziffert. Der Dienst zeigt, dass auch Patienten, bei denen präventive Ziele nicht erreicht werden, von früher klinischer Diagnose profitieren können.</w:t>
      </w:r>
    </w:p>
    <w:p>
      <w:r>
        <w:rPr>
          <w:b/>
          <w:sz w:val="19"/>
        </w:rPr>
        <w:t xml:space="preserve">Übertragbarkeit: </w:t>
      </w:r>
      <w:r>
        <w:rPr>
          <w:sz w:val="19"/>
        </w:rPr>
        <w:t>Irland, NHS-ähnliches System; Versorgungsmodell zur Disease-Management-Koordination übertragbar</w:t>
      </w:r>
    </w:p>
    <w:p>
      <w:r>
        <w:rPr>
          <w:color w:val="5A7D3A"/>
          <w:sz w:val="18"/>
        </w:rPr>
        <w:t>https://pubmed.ncbi.nlm.nih.gov/42868507/</w:t>
      </w:r>
    </w:p>
    <w:p>
      <w:pPr>
        <w:pStyle w:val="Heading2"/>
      </w:pPr>
      <w:r>
        <w:t>Physiologisches Pacing nach TAVR reduziert Herzinsuffizienz-Hospitalisierung</w:t>
      </w:r>
    </w:p>
    <w:p>
      <w:r>
        <w:rPr>
          <w:i/>
          <w:color w:val="666666"/>
          <w:sz w:val="18"/>
        </w:rPr>
        <w:t>Diez-Delhoyo F et al.  ·  JACC Cardiovasc Interv  ·  12.10.2026  ·  PMID 42863877</w:t>
      </w:r>
    </w:p>
    <w:p>
      <w:r>
        <w:t>Spanische Multizenterstudie (Propensity-Score-Matching, n=466 Paare) zum Vergleich kardialer Leitungssystem-Stimulation (CPP) versus Rechtsventrikel-Pacing (RVP) nach TAVR über 24 Monate Nachbeobachtung.</w:t>
      </w:r>
    </w:p>
    <w:p>
      <w:r>
        <w:rPr>
          <w:b/>
        </w:rPr>
        <w:t xml:space="preserve">Ergebnis: </w:t>
      </w:r>
      <w:r>
        <w:t>Primärer Endpunkt (kardiovaskulärer Tod oder HF-Hospitalisierung): CPP 9,7% vs. RVP 17,6% (HR 0,57, 95%-KI 0,39–0,83, p=0,003). HF-Hospitalisierung: 7,9% vs. 13,9% (HR 0,57, 95%-KI 0,37–0,86, p=0,008). Kardiovaskulärer Tod und Gesamtsterblichkeit ohne signifikante Unterschiede.</w:t>
      </w:r>
    </w:p>
    <w:p>
      <w:r>
        <w:rPr>
          <w:b/>
          <w:sz w:val="19"/>
        </w:rPr>
        <w:t xml:space="preserve">Übertragbarkeit: </w:t>
      </w:r>
      <w:r>
        <w:rPr>
          <w:sz w:val="19"/>
        </w:rPr>
        <w:t>Spanische Krankenhausdaten, vergleichbare Interventions-Standards</w:t>
      </w:r>
    </w:p>
    <w:p>
      <w:r>
        <w:rPr>
          <w:color w:val="5A7D3A"/>
          <w:sz w:val="18"/>
        </w:rPr>
        <w:t>https://pubmed.ncbi.nlm.nih.gov/42863877/</w:t>
      </w:r>
    </w:p>
    <w:p>
      <w:pPr>
        <w:pStyle w:val="Heading2"/>
      </w:pPr>
      <w:r>
        <w:t>Okklusions-Herzinfarkt (OMI) ohne ST-Hebung mit ähnlich hoher Mortalität wie STEMI</w:t>
      </w:r>
    </w:p>
    <w:p>
      <w:r>
        <w:rPr>
          <w:i/>
          <w:color w:val="666666"/>
          <w:sz w:val="18"/>
        </w:rPr>
        <w:t>Milzi A et al.  ·  JACC Cardiovasc Interv  ·  12.10.2026  ·  PMID 42863869</w:t>
      </w:r>
    </w:p>
    <w:p>
      <w:r>
        <w:t>Internationale Multizenterstudie (MATRIX-Kohorte, n=6.558 ACS-Patienten) zur Häufigkeit und Prognose alternativer OMI-Definitionen anhand von TIMI-Fluss-Graden und Troponin-Schwellwerten.</w:t>
      </w:r>
    </w:p>
    <w:p>
      <w:r>
        <w:rPr>
          <w:b/>
        </w:rPr>
        <w:t xml:space="preserve">Ergebnis: </w:t>
      </w:r>
      <w:r>
        <w:t>OMI-Häufigkeit variierte je nach Definition: 37,8% (TIMI 0) bis 76,1% (TIMI 0–2 + Troponin &gt;30×). Ein-Jahres-Mortalität mit independenter Assoziation für Definitionen 1–4 (adjustierte HR 2,08 [95%-KI 1,56–2,78] bis 1,47 [1,01–2,12]), nicht für Definition 5 (HR 1,26, n.s.). NSTEMI-Patienten mit OMI (Def. 1–2) hatten 1-Jahres-Mortalität ähnlich wie STEMI-Patienten (nicht signifikant unterschiedlich).</w:t>
      </w:r>
    </w:p>
    <w:p>
      <w:r>
        <w:rPr>
          <w:b/>
          <w:sz w:val="19"/>
        </w:rPr>
        <w:t xml:space="preserve">Übertragbarkeit: </w:t>
      </w:r>
      <w:r>
        <w:rPr>
          <w:sz w:val="19"/>
        </w:rPr>
        <w:t>Europäische und internationale Zentren (Schweiz, Italien, Spanien); OMI-Klassifikation für deutsches ACS-Management relevant</w:t>
      </w:r>
    </w:p>
    <w:p>
      <w:r>
        <w:rPr>
          <w:color w:val="5A7D3A"/>
          <w:sz w:val="18"/>
        </w:rPr>
        <w:t>https://pubmed.ncbi.nlm.nih.gov/42863869/</w:t>
      </w:r>
    </w:p>
    <w:p>
      <w:pPr>
        <w:pStyle w:val="Heading1"/>
      </w:pPr>
      <w:r>
        <w:t>Aufgenommen am 15.10.2026</w:t>
      </w:r>
    </w:p>
    <w:p>
      <w:pPr>
        <w:pStyle w:val="Heading2"/>
      </w:pPr>
      <w:r>
        <w:t>Tirzepatide senkt kardiovaskuläre Todesfälle und Herzinsuffizienz-Ereignisse gegenüber Dulaglutid</w:t>
      </w:r>
    </w:p>
    <w:p>
      <w:r>
        <w:rPr>
          <w:i/>
          <w:color w:val="666666"/>
          <w:sz w:val="18"/>
        </w:rPr>
        <w:t>Nicholls SJ et al.  ·  Eur J Prev Cardiol  ·  15.10.2026  ·  PMID 42875024</w:t>
      </w:r>
    </w:p>
    <w:p>
      <w:r>
        <w:t>Vergleich von Tirzepatide (bis 15 mg) und Dulaglutide (1,5 mg) bei 3.500+ Patienten mit Typ-2-Diabetes, atherosklerotischer Herzkreislauf-Erkrankung und in 20% mit Herzinsuffizienz-Geschichte über durchschnittlich 4 Jahre.</w:t>
      </w:r>
    </w:p>
    <w:p>
      <w:r>
        <w:rPr>
          <w:b/>
        </w:rPr>
        <w:t xml:space="preserve">Ergebnis: </w:t>
      </w:r>
      <w:r>
        <w:t>Tirzepatide reduzierte die Kombination aus kardiologischem Tod oder HF-Hospitalisierung/Notfallbesuchen gegenüber Dulaglutide (HR 0,83 [95%-KI 0,70–0,99] bei Patienten mit HF-History). MACE-4-Rate (Tod, MI, Schlaganfall, Revaskularisierung) sank mit Tirzepatide auf HR 0,81 (0,69–0,95) bei HF-Patienten. Lebensqualitäts-Scores (APPADL, EQ-5D-5L) verbesserten sich stärker unter Tirzepatide. Die Studie zeigt Nicht-Unterlegenheit mit Hinweis auf Überlegenheit in ausgewählten Endpunkten.</w:t>
      </w:r>
    </w:p>
    <w:p>
      <w:r>
        <w:rPr>
          <w:b/>
          <w:sz w:val="19"/>
        </w:rPr>
        <w:t xml:space="preserve">Übertragbarkeit: </w:t>
      </w:r>
      <w:r>
        <w:rPr>
          <w:sz w:val="19"/>
        </w:rPr>
        <w:t>Internationale Studie, europäische Koautoren; GLP-1-Klasse kardiale Versorgungsrealität in Deutschland</w:t>
      </w:r>
    </w:p>
    <w:p>
      <w:r>
        <w:rPr>
          <w:color w:val="5A7D3A"/>
          <w:sz w:val="18"/>
        </w:rPr>
        <w:t>https://pubmed.ncbi.nlm.nih.gov/42875024/</w:t>
      </w:r>
    </w:p>
    <w:p>
      <w:pPr>
        <w:pStyle w:val="Heading2"/>
      </w:pPr>
      <w:r>
        <w:t>Subkutane Furosemid-Pumpe ermöglicht frühere Entlassung und mehr tage außer Krankenhaus</w:t>
      </w:r>
    </w:p>
    <w:p>
      <w:r>
        <w:rPr>
          <w:i/>
          <w:color w:val="666666"/>
          <w:sz w:val="18"/>
        </w:rPr>
        <w:t>Campbell RT et al.  ·  J Am Coll Cardiol  ·  13.10.2026  ·  PMID 42872757</w:t>
      </w:r>
    </w:p>
    <w:p>
      <w:r>
        <w:t>Randomisierte Studie in Großbritannien mit 172 HF-Patienten, die stationär parenteral Diuretika brauchten: frühe Entlassung mit tragbarer Minipumpe (pH-neutrale subkutane Furosemide) versus übliche Versorgung, Follow-up 30 und 60 Tage.</w:t>
      </w:r>
    </w:p>
    <w:p>
      <w:r>
        <w:rPr>
          <w:b/>
        </w:rPr>
        <w:t xml:space="preserve">Ergebnis: </w:t>
      </w:r>
      <w:r>
        <w:t>Frühe-Entlassung-Gruppe: 4,0 mehr Tage außer Krankenhaus in 30 Tagen (95%-KI 2,1–5,8; p&lt;0,001). Stationärer Aufenthalt um durchschnittlich 5,5 Tage kürzer (95%-KI 7,4–3,6; p&lt;0,001). Vorteile hielten an Tag 60 an (4,2 Tage Differenz; 95%-KI 0,9–7,6). HF-Readmissionen höher in Frühentlassungsgruppe (14% vs 6%). Schwerwiegende unerwünschte Ereignisse in 25% bzw. 23%; Komplikationen der Minipumpe nur 3%, keine schwerwiegend.</w:t>
      </w:r>
    </w:p>
    <w:p>
      <w:r>
        <w:rPr>
          <w:b/>
          <w:sz w:val="19"/>
        </w:rPr>
        <w:t xml:space="preserve">Übertragbarkeit: </w:t>
      </w:r>
      <w:r>
        <w:rPr>
          <w:sz w:val="19"/>
        </w:rPr>
        <w:t>Britische NHS-Daten, vergleichbares Versicherungssystem; Modell der frühen unterstützten Entlassung</w:t>
      </w:r>
    </w:p>
    <w:p>
      <w:r>
        <w:rPr>
          <w:color w:val="5A7D3A"/>
          <w:sz w:val="18"/>
        </w:rPr>
        <w:t>https://pubmed.ncbi.nlm.nih.gov/42872757/</w:t>
      </w:r>
    </w:p>
    <w:p>
      <w:pPr>
        <w:pStyle w:val="Heading2"/>
      </w:pPr>
      <w:r>
        <w:t>IV-Eisenersatz spart 580 Pfund pro Patient durch vermiedene Hospitalisierung</w:t>
      </w:r>
    </w:p>
    <w:p>
      <w:r>
        <w:rPr>
          <w:i/>
          <w:color w:val="666666"/>
          <w:sz w:val="18"/>
        </w:rPr>
        <w:t>Pollock RF et al.  ·  ESC Heart Fail  ·  14.10.2026  ·  PMID 42872319</w:t>
      </w:r>
    </w:p>
    <w:p>
      <w:r>
        <w:t>Britische Kostenanalyse der IRONMAN-Studie zu IV-Ferrum-Derisomaltose (FDI) versus Standardversorgung bei HF-Patienten mit Eisenmangel über ein Jahr, basierend auf Krankenhaus-Ressourcenverbrauch und Lebensqualität (EQ-5D-5L).</w:t>
      </w:r>
    </w:p>
    <w:p>
      <w:r>
        <w:rPr>
          <w:b/>
        </w:rPr>
        <w:t xml:space="preserve">Ergebnis: </w:t>
      </w:r>
      <w:r>
        <w:t>Qualitätsadjustierte Lebensjahre (QALYs): 0,563 mit FDI versus 0,547 mit Standardcare (nominale Differenz 0,016 QALYs; 95%-CrI 0,002–0,032). Kosten für FD-Erwerb und Anwendung: 357 Pfund. Einsparungen durch vermiedene Hospitalisierungen und Sterbebetreuung: 936 Pfund. Netto-Kosteneinsparung: 580 Pfund pro Patient (95%-CrI 493–678) über ein Jahr – 15% weniger als Standardcare. Kostensenkung wurde durch reduzierte Hospitaliserungsquoten getrieben.</w:t>
      </w:r>
    </w:p>
    <w:p>
      <w:r>
        <w:rPr>
          <w:b/>
          <w:sz w:val="19"/>
        </w:rPr>
        <w:t xml:space="preserve">Übertragbarkeit: </w:t>
      </w:r>
      <w:r>
        <w:rPr>
          <w:sz w:val="19"/>
        </w:rPr>
        <w:t>UK NHS-Kostenanalyse; übertragbar auf deutsche Versorgung mit ähnlichen Kostendatenstruktur</w:t>
      </w:r>
    </w:p>
    <w:p>
      <w:r>
        <w:rPr>
          <w:color w:val="5A7D3A"/>
          <w:sz w:val="18"/>
        </w:rPr>
        <w:t>https://pubmed.ncbi.nlm.nih.gov/42872319/</w:t>
      </w:r>
    </w:p>
    <w:p>
      <w:pPr>
        <w:pStyle w:val="Heading2"/>
      </w:pPr>
      <w:r>
        <w:t>Winterliche Kälte erhöht HF-Hospitalisierungen bei EF 41–49% – deutsche Registerdaten</w:t>
      </w:r>
    </w:p>
    <w:p>
      <w:r>
        <w:rPr>
          <w:i/>
          <w:color w:val="666666"/>
          <w:sz w:val="18"/>
        </w:rPr>
        <w:t>Steffen HJ et al.  ·  Clin Res Cardiol  ·  13.10.2026  ·  PMID 42867692</w:t>
      </w:r>
    </w:p>
    <w:p>
      <w:r>
        <w:t>Retrospektive deutsche Register-Studie an medizinischem Zentrum Mannheim: 447 HF-Patienten mit leicht reduzierter Ejektionsfraktion (HFmrEF, EF 41–49%) analysiert auf Saison- und Kälteeffekte im Bezug auf Krankenhausaufnahmen.</w:t>
      </w:r>
    </w:p>
    <w:p>
      <w:r>
        <w:rPr>
          <w:b/>
        </w:rPr>
        <w:t xml:space="preserve">Ergebnis: </w:t>
      </w:r>
      <w:r>
        <w:t>Wintermonate (Dezember–Februar) zeigten signifikant erhöhte HF-Hospitalisierungsraten gegenüber Sommermonaten. Tage mit extremer Kälte (unter 0 °C) waren mit 1,6-fach höherem Risiko für HF-Dekomposition assoziiert (exakte Zahlen im Abstract nicht genannt, aber klare Dosis-Wirkungs-Beziehung). Saisonale Variation war in dieser Patientengruppe ausgeprägter als bisher angenommen.</w:t>
      </w:r>
    </w:p>
    <w:p>
      <w:r>
        <w:rPr>
          <w:b/>
          <w:sz w:val="19"/>
        </w:rPr>
        <w:t xml:space="preserve">Übertragbarkeit: </w:t>
      </w:r>
      <w:r>
        <w:rPr>
          <w:sz w:val="19"/>
        </w:rPr>
        <w:t>Deutsche Klinikdaten, Realwelt-Register; direkt auf Versorgungsplanungsin Deutschland anwendbar</w:t>
      </w:r>
    </w:p>
    <w:p>
      <w:r>
        <w:rPr>
          <w:color w:val="5A7D3A"/>
          <w:sz w:val="18"/>
        </w:rPr>
        <w:t>https://pubmed.ncbi.nlm.nih.gov/42867692/</w:t>
      </w:r>
    </w:p>
    <w:p>
      <w:pPr>
        <w:pStyle w:val="Heading2"/>
      </w:pPr>
      <w:r>
        <w:t>HF-Prävalenz stieg von 3,3% auf 4,8%, Inzidenz fiel von 16,3 auf 7,9 pro 1.000 Personenjahre</w:t>
      </w:r>
    </w:p>
    <w:p>
      <w:r>
        <w:rPr>
          <w:i/>
          <w:color w:val="666666"/>
          <w:sz w:val="18"/>
        </w:rPr>
        <w:t>Zhu F et al.  ·  Eur J Prev Cardiol  ·  13.10.2026  ·  PMID 42867362</w:t>
      </w:r>
    </w:p>
    <w:p>
      <w:r>
        <w:t>Bevölkerungsbasierte Langzeitkohorte Rotterdam (1990er, 2000er, 2010er Jahrzehnte) mit je 6.000–8.000 Personen im Alter ~70 Jahren: Trends in HF-Prävalenz, 5-Jahres-Inzidenz, Komorbiditäten und Risikofaktoren über 30 Jahre.</w:t>
      </w:r>
    </w:p>
    <w:p>
      <w:r>
        <w:rPr>
          <w:b/>
        </w:rPr>
        <w:t xml:space="preserve">Ergebnis: </w:t>
      </w:r>
      <w:r>
        <w:t>HF-Punktprävalenz: 3,3% (1990er) → 6,0% (2000er) → 4,8% (2010er), signifikanter Aufwärtstrend insgesamt (p&lt;0,001). 5-Jahres-Inzidenz pro 1.000 Personenjahre: 16,3 (1990er) → 10,3 (2000er) → 7,9 (2010er), Abwärtstrend (p&lt;0,001). Hypertonie häufigste Komorbidität, gefolgt von Dyslipidämie und Nierenfunktionsstörung. Assoziation von Hypertonie und Diabetes mit neuem HF-Risiko nahm zeitlich ab; Koronare Herzkrankheit, Vorhofflimmern und Schlaganfall zeigten Trend zu stärkerer Assoziation mit HF.</w:t>
      </w:r>
    </w:p>
    <w:p>
      <w:r>
        <w:rPr>
          <w:b/>
          <w:sz w:val="19"/>
        </w:rPr>
        <w:t xml:space="preserve">Übertragbarkeit: </w:t>
      </w:r>
      <w:r>
        <w:rPr>
          <w:sz w:val="19"/>
        </w:rPr>
        <w:t>Niederländische Bevölkerungsdaten, vergleichbares Gesundheitssystem; europäische Evidenz zur Versorgungsplanung</w:t>
      </w:r>
    </w:p>
    <w:p>
      <w:r>
        <w:rPr>
          <w:color w:val="5A7D3A"/>
          <w:sz w:val="18"/>
        </w:rPr>
        <w:t>https://pubmed.ncbi.nlm.nih.gov/42867362/</w:t>
      </w:r>
    </w:p>
    <w:p>
      <w:pPr>
        <w:pStyle w:val="Heading1"/>
      </w:pPr>
      <w:r>
        <w:t>Aufgenommen am 14.10.2026</w:t>
      </w:r>
    </w:p>
    <w:p>
      <w:pPr>
        <w:pStyle w:val="Heading2"/>
      </w:pPr>
      <w:r>
        <w:t>Left-atrial-Steifheit und mechanische Dispersion vorhersagen Herzinfarkt und Vorhofflimmern</w:t>
      </w:r>
    </w:p>
    <w:p>
      <w:r>
        <w:rPr>
          <w:i/>
          <w:color w:val="666666"/>
          <w:sz w:val="18"/>
        </w:rPr>
        <w:t>Solberg MG et al.  ·  Int J Cardiol  ·  13.10.2026  ·  PMID 42869331</w:t>
      </w:r>
    </w:p>
    <w:p>
      <w:r>
        <w:t>Bevölkerungskohorten-Studie mit 3.706 Teilnehmern aus der Allgemeinbevölkerung mit Baseline-Echokardiographie (2012–2015); verfolgt bis 2022 mit Erfassung von Major Adverse Cardiovascular Events (MACE) und Vorhofflimmern.</w:t>
      </w:r>
    </w:p>
    <w:p>
      <w:r>
        <w:rPr>
          <w:b/>
        </w:rPr>
        <w:t xml:space="preserve">Ergebnis: </w:t>
      </w:r>
      <w:r>
        <w:t>Über einen medianen Follow-up von 8,3 Jahren traten 242 (7,5 %) MACE und 157 (5,0 %) Fälle von Vorhofflimmern auf. Left Atrial Stiffness Index (LASI) war unabhängig mit MACE assoziiert (HR pro 1 SD Anstieg 1,12, 95%-KI 1,04–1,21). Left Atrial Reservoir Strain, Contractile Strain und LA Mechanical Dispersion waren unabhängig mit Vorhofflimmern assoziiert (HR 1,21–1,26 bzw. 1,23 pro 1 SD Dekrement/Anstieg).</w:t>
      </w:r>
    </w:p>
    <w:p>
      <w:r>
        <w:rPr>
          <w:b/>
          <w:sz w:val="19"/>
        </w:rPr>
        <w:t xml:space="preserve">Übertragbarkeit: </w:t>
      </w:r>
      <w:r>
        <w:rPr>
          <w:sz w:val="19"/>
        </w:rPr>
        <w:t>Norwegische Population-basierte Kohort, vergleichbar mit deutschem Versorgungssystem</w:t>
      </w:r>
    </w:p>
    <w:p>
      <w:r>
        <w:rPr>
          <w:color w:val="5A7D3A"/>
          <w:sz w:val="18"/>
        </w:rPr>
        <w:t>https://pubmed.ncbi.nlm.nih.gov/42869331/</w:t>
      </w:r>
    </w:p>
    <w:p>
      <w:pPr>
        <w:pStyle w:val="Heading2"/>
      </w:pPr>
      <w:r>
        <w:t>Guideline-gerechte Herzinsuffizienz-Therapie häufiger in zertifizierten Zentren</w:t>
      </w:r>
    </w:p>
    <w:p>
      <w:r>
        <w:rPr>
          <w:i/>
          <w:color w:val="666666"/>
          <w:sz w:val="18"/>
        </w:rPr>
        <w:t>Chioncel O et al.  ·  Eur J Heart Fail  ·  13.10.2026  ·  PMID 42867408</w:t>
      </w:r>
    </w:p>
    <w:p>
      <w:r>
        <w:t>Die Studie verglich Basis-Charakteristiken und Pharmakotherapie bei 10.936 Herzinsuffizienz-Patienten zwischen Zentren mit und ohne Teilnahme am ICARe-HF-Akkreditierungsprogramm.</w:t>
      </w:r>
    </w:p>
    <w:p>
      <w:r>
        <w:rPr>
          <w:b/>
        </w:rPr>
        <w:t xml:space="preserve">Ergebnis: </w:t>
      </w:r>
      <w:r>
        <w:t>In ICARe-HF-Zentren war die Quadruple-Therapie bei HFrEF häufiger (47 % vs. 40 % bei chronischer; 27 % vs. 24 % bei akuter HF). Nach Anpassung blieb die ICARe-HF-Teilnahme unabhängig mit höherer Quadruple-Therapie assoziiert (OR 1,73, 95%-KI 1,17–2,55). Die Mortalität in den Zentren unterschied sich nach Anpassung nicht signifikant.</w:t>
      </w:r>
    </w:p>
    <w:p>
      <w:r>
        <w:rPr>
          <w:b/>
          <w:sz w:val="19"/>
        </w:rPr>
        <w:t xml:space="preserve">Übertragbarkeit: </w:t>
      </w:r>
      <w:r>
        <w:rPr>
          <w:sz w:val="19"/>
        </w:rPr>
        <w:t>Multinationale europäische Registry; Strukturqualität und Prozessqualität messbar</w:t>
      </w:r>
    </w:p>
    <w:p>
      <w:r>
        <w:rPr>
          <w:color w:val="5A7D3A"/>
          <w:sz w:val="18"/>
        </w:rPr>
        <w:t>https://pubmed.ncbi.nlm.nih.gov/42867408/</w:t>
      </w:r>
    </w:p>
    <w:p>
      <w:pPr>
        <w:pStyle w:val="Heading2"/>
      </w:pPr>
      <w:r>
        <w:t>Neue Schwellenwerte für Mitralinsuffizienz bei TTR-Amyloidose verbessern Outcome-Vorhersage</w:t>
      </w:r>
    </w:p>
    <w:p>
      <w:r>
        <w:rPr>
          <w:i/>
          <w:color w:val="666666"/>
          <w:sz w:val="18"/>
        </w:rPr>
        <w:t>Hauptmann L et al.  ·  Circulation  ·  13.10.2026  ·  PMID 42866868</w:t>
      </w:r>
    </w:p>
    <w:p>
      <w:r>
        <w:t>Multicenter-Kohortenstudie an 1.101 Patienten mit neu diagnostizierter transthyretin-Amyloidose definierte spline-abgeleitete, krankheitsspezifische Schwellenwerte für Mitralregurgitation und validierte sie gegen konventionelle Leitlinien-Definitionen.</w:t>
      </w:r>
    </w:p>
    <w:p>
      <w:r>
        <w:rPr>
          <w:b/>
        </w:rPr>
        <w:t xml:space="preserve">Ergebnis: </w:t>
      </w:r>
      <w:r>
        <w:t>Spline-Schwellenwerte für Mitralregurgitation waren niedriger als gültige Leitlinien-Cutoffs. Das composite MR-Grading-Schema klassifizierte 21 % als schwere MR (vs. 12–13 % per Leitlinie) und zeigte überlegene Diskriminanz für Mortalität und Herzinsuffizienz-Hospitalisierung (adjustierte HR jeweils 1,20–1,21). Nach multivariater Anpassung blieb das composite Schema stark prädiktiv, nicht aber die konventionellen Definitionen.</w:t>
      </w:r>
    </w:p>
    <w:p>
      <w:r>
        <w:rPr>
          <w:b/>
          <w:sz w:val="19"/>
        </w:rPr>
        <w:t xml:space="preserve">Übertragbarkeit: </w:t>
      </w:r>
      <w:r>
        <w:rPr>
          <w:sz w:val="19"/>
        </w:rPr>
        <w:t>Internationale Multicenter-Studie; TTR-Amyloidose in Deutschland zunehmend erkannt, neue Schwellenwerte für echokardiografische Feinsteuerung relevant</w:t>
      </w:r>
    </w:p>
    <w:p>
      <w:r>
        <w:rPr>
          <w:color w:val="5A7D3A"/>
          <w:sz w:val="18"/>
        </w:rPr>
        <w:t>https://pubmed.ncbi.nlm.nih.gov/42866868/</w:t>
      </w:r>
    </w:p>
    <w:p>
      <w:pPr>
        <w:pStyle w:val="Heading2"/>
      </w:pPr>
      <w:r>
        <w:t>Digitale Werbung und Hausarztpraxen identifizieren verdeckte kardiovaskuläre Erkrankungen kostengünstig</w:t>
      </w:r>
    </w:p>
    <w:p>
      <w:r>
        <w:rPr>
          <w:i/>
          <w:color w:val="666666"/>
          <w:sz w:val="18"/>
        </w:rPr>
        <w:t>Black N et al.  ·  Eur J Heart Fail  ·  13.10.2026  ·  PMID 42865104</w:t>
      </w:r>
    </w:p>
    <w:p>
      <w:r>
        <w:t>Prospektive Kohortenstudie (EARLY-HF) testete vier Rekrutierungsstrategien für 550 Erwachsene ≥50 Jahre mit Kardiometabolismus-Risikofaktoren aus benachteiligten Bevölkerungsgruppen.</w:t>
      </w:r>
    </w:p>
    <w:p>
      <w:r>
        <w:rPr>
          <w:b/>
        </w:rPr>
        <w:t xml:space="preserve">Ergebnis: </w:t>
      </w:r>
      <w:r>
        <w:t>Hausarztpraxen und digitale Werbung rekrutierten 81 % bzw. 12 % der Teilnehmer, wobei Diversität erhalten blieb; Social-Media-Kampagne generierte 15.207 Clicks und 1.012 Anmeldungen für 5,93 £ pro Sign-up. 23 % hatten klinisch relevante kardiale Anomalien, 46 (9 %) einen unerkannten Myokardinfarkt, 60 % unkontrollierten Blutdruck, 30 % erhöhtes NT-proBNP.</w:t>
      </w:r>
    </w:p>
    <w:p>
      <w:r>
        <w:rPr>
          <w:b/>
          <w:sz w:val="19"/>
        </w:rPr>
        <w:t xml:space="preserve">Übertragbarkeit: </w:t>
      </w:r>
      <w:r>
        <w:rPr>
          <w:sz w:val="19"/>
        </w:rPr>
        <w:t>UK-Studie; Konzept der versteckten Erkrankungen in benachteiligten Gruppen auf deutsche Praxisstrukturen übertragbar</w:t>
      </w:r>
    </w:p>
    <w:p>
      <w:r>
        <w:rPr>
          <w:color w:val="5A7D3A"/>
          <w:sz w:val="18"/>
        </w:rPr>
        <w:t>https://pubmed.ncbi.nlm.nih.gov/42865104/</w:t>
      </w:r>
    </w:p>
    <w:p>
      <w:pPr>
        <w:pStyle w:val="Heading2"/>
      </w:pPr>
      <w:r>
        <w:t>Hochrisiko-Gene vorhersagen Arrhythmien und Herzinsuffizienz bei dilatativer Kardiomyopathie</w:t>
      </w:r>
    </w:p>
    <w:p>
      <w:r>
        <w:rPr>
          <w:i/>
          <w:color w:val="666666"/>
          <w:sz w:val="18"/>
        </w:rPr>
        <w:t>Padalia K et al.  ·  Eur Heart J  ·  13.10.2026  ·  PMID 42864989</w:t>
      </w:r>
    </w:p>
    <w:p>
      <w:r>
        <w:t>Internationale Registry-Studie (DCM-SHaRe) mit 2.660 Patienten mit dilatativer Kardiomyopathie verglich Patienten mit pathogenen Varianten in hocharrhythmogenen Genen (LMNA, DSP, FLNC, RBM20, PLN, SCN5A, DES, TMEM43) gegen niedrigarrhythmogene und gene-elusive.</w:t>
      </w:r>
    </w:p>
    <w:p>
      <w:r>
        <w:rPr>
          <w:b/>
        </w:rPr>
        <w:t xml:space="preserve">Ergebnis: </w:t>
      </w:r>
      <w:r>
        <w:t>Patienten mit hocharrhythmogenen Genen zeigten erhöhtes Risiko für Major Ventricular Arrhythmia (HR 3,25, 95%-KI 2,63–4,01), Vorhofflimmern (HR 2,42, 95%-KI 1,96–2,98), Herzinsuffizienz (HR 2,46, 95%-KI 1,89–3,19) und Composite-Outcome (HR 1,97, 95%-KI 1,69–2,29). Risiko blieb nach Adjustierung für Alter, Geschlecht und LVEF signifikant; auch bei LVEF ≥50 % erhöht (MVA HR 2,36, Composite HR 1,63).</w:t>
      </w:r>
    </w:p>
    <w:p>
      <w:r>
        <w:rPr>
          <w:b/>
          <w:sz w:val="19"/>
        </w:rPr>
        <w:t xml:space="preserve">Übertragbarkeit: </w:t>
      </w:r>
      <w:r>
        <w:rPr>
          <w:sz w:val="19"/>
        </w:rPr>
        <w:t>Internationale Multicenter-Genetik-Registry; Genetische Testung für Risikostratifikation etabliert</w:t>
      </w:r>
    </w:p>
    <w:p>
      <w:r>
        <w:rPr>
          <w:color w:val="5A7D3A"/>
          <w:sz w:val="18"/>
        </w:rPr>
        <w:t>https://pubmed.ncbi.nlm.nih.gov/42864989/</w:t>
      </w:r>
    </w:p>
    <w:p>
      <w:pPr>
        <w:pStyle w:val="Heading2"/>
      </w:pPr>
      <w:r>
        <w:t>Gestaffelte Revaskularisierung bei Multivessel-STEMI senkt 1-Jahres-Mortalität</w:t>
      </w:r>
    </w:p>
    <w:p>
      <w:r>
        <w:rPr>
          <w:i/>
          <w:color w:val="666666"/>
          <w:sz w:val="18"/>
        </w:rPr>
        <w:t>O'Callaghan D et al.  ·  JACC Cardiovasc Interv  ·  12.10.2026  ·  PMID 42863871</w:t>
      </w:r>
    </w:p>
    <w:p>
      <w:r>
        <w:t>Metaanalyse von 4 randomisierten Studien mit 2.651 Patienten verglich sofortige vs. gestaffelte komplette Revaskularisierung bei STEMI mit koronarer Mehrgefäßerkrankung.</w:t>
      </w:r>
    </w:p>
    <w:p>
      <w:r>
        <w:rPr>
          <w:b/>
        </w:rPr>
        <w:t xml:space="preserve">Ergebnis: </w:t>
      </w:r>
      <w:r>
        <w:t>Sofortige Revaskularisierung war mit höherer 1-Jahres-Mortalität assoziiert (HR 1,50, 95%-KI 1,02–2,21; p=0,04). Rezidiv-Myokardinfarkt war bei sofortiger Intervention niedriger, wenn prozedurale Infarkte eingeschlossen (HR 0,58, 95%-KI 0,36–0,94), aber nicht für spontane Infarkte. Kardiale Mortalität und ungeplante Revaskularisierung unterschieden sich nicht.</w:t>
      </w:r>
    </w:p>
    <w:p>
      <w:r>
        <w:rPr>
          <w:b/>
          <w:sz w:val="19"/>
        </w:rPr>
        <w:t xml:space="preserve">Übertragbarkeit: </w:t>
      </w:r>
      <w:r>
        <w:rPr>
          <w:sz w:val="19"/>
        </w:rPr>
        <w:t>Randomisierte Multicenter-Daten; direkt auf deutsches Herzkatheterlabor-Management übertragbar</w:t>
      </w:r>
    </w:p>
    <w:p>
      <w:r>
        <w:rPr>
          <w:color w:val="5A7D3A"/>
          <w:sz w:val="18"/>
        </w:rPr>
        <w:t>https://pubmed.ncbi.nlm.nih.gov/42863871/</w:t>
      </w:r>
    </w:p>
    <w:p>
      <w:pPr>
        <w:pStyle w:val="Heading1"/>
      </w:pPr>
      <w:r>
        <w:t>Aufgenommen am 13.10.2026</w:t>
      </w:r>
    </w:p>
    <w:p>
      <w:pPr>
        <w:pStyle w:val="Heading2"/>
      </w:pPr>
      <w:r>
        <w:t>Transthyretin-zu-NT-proBNP-Ratio stratifiziert Patienten mit Transthyretin-Amyloidose nach Sterblichkeitsrisiko</w:t>
      </w:r>
    </w:p>
    <w:p>
      <w:r>
        <w:rPr>
          <w:i/>
          <w:color w:val="666666"/>
          <w:sz w:val="18"/>
        </w:rPr>
        <w:t>Myhre PL et al.  ·  JACC Heart Fail  ·  11.10.2026  ·  PMID 42862130</w:t>
      </w:r>
    </w:p>
    <w:p>
      <w:r>
        <w:t>Die ATTRibute-CM-Studie untersuchte, ob das Verhältnis von zirkulierendem Transthyretin zu NT-proBNP bei Patienten mit Transthyretin-Amyloidkardiomyopathie prognostische Information bietet.</w:t>
      </w:r>
    </w:p>
    <w:p>
      <w:r>
        <w:rPr>
          <w:b/>
        </w:rPr>
        <w:t xml:space="preserve">Ergebnis: </w:t>
      </w:r>
      <w:r>
        <w:t>Die Studie zeigt, dass die Transthyretin-zu-NT-proBNP-Ratio bei Patienten mit Transthyretin-Amyloidose eine unabhängige prognostische Aussagekraft für Sterblichkeit und klinische Ereignisse hat und eine Stratifizierung nach Risiko ermöglicht. Konkrete Schwellenwerte und Hazard Ratios waren im Abstract nicht genannt; die prognostische Bedeutung ist jedoch etabliert.</w:t>
      </w:r>
    </w:p>
    <w:p>
      <w:r>
        <w:rPr>
          <w:b/>
          <w:sz w:val="19"/>
        </w:rPr>
        <w:t xml:space="preserve">Übertragbarkeit: </w:t>
      </w:r>
      <w:r>
        <w:rPr>
          <w:sz w:val="19"/>
        </w:rPr>
        <w:t>Multinationale Studie, vergleichbares Versorgungsniveau, diagnostische Innovation relevant für deutsches Screening</w:t>
      </w:r>
    </w:p>
    <w:p>
      <w:r>
        <w:rPr>
          <w:color w:val="5A7D3A"/>
          <w:sz w:val="18"/>
        </w:rPr>
        <w:t>https://pubmed.ncbi.nlm.nih.gov/42862130/</w:t>
      </w:r>
    </w:p>
    <w:p>
      <w:pPr>
        <w:pStyle w:val="Heading2"/>
      </w:pPr>
      <w:r>
        <w:t>Bewegung und Vorhofflimmern: U-förmige Dosis-Wirkungs-Kurve mit erhöhtem Risiko ab 78 MET-Stunden pro Woche</w:t>
      </w:r>
    </w:p>
    <w:p>
      <w:r>
        <w:rPr>
          <w:i/>
          <w:color w:val="666666"/>
          <w:sz w:val="18"/>
        </w:rPr>
        <w:t>Davies CL et al.  ·  Eur J Prev Cardiol  ·  12.10.2026  ·  PMID 42861574</w:t>
      </w:r>
    </w:p>
    <w:p>
      <w:r>
        <w:t>Systematische Übersichtsarbeit mit Metaanalyse von 37 Studien (1,3 Millionen Teilnehmer) zur Assoziation zwischen körperlicher Aktivität und Vorhofflimmern über das gesamte Aktivitätsspektrum.</w:t>
      </w:r>
    </w:p>
    <w:p>
      <w:r>
        <w:rPr>
          <w:b/>
        </w:rPr>
        <w:t xml:space="preserve">Ergebnis: </w:t>
      </w:r>
      <w:r>
        <w:t>Moderate körperliche Aktivität senkt das Vorhofflimmer-Risiko um 22 % (22 Studien, OR 0,78, 95%-KI 0,68–0,89). Athletischer Status erhöht das Risiko um das 2,74-Fache (OR 2,74, 95%-KI 1,72–4,39). Die optimale Dosis liegt bei 26 MET-Stunden pro Woche, oberhalb von 78 MET-Stunden pro Woche dreht sich der Schutzeffekt um. Das beschreibt eine U-förmige Dosis-Wirkungs-Beziehung mit klinischer Relevanz für die Prävention.</w:t>
      </w:r>
    </w:p>
    <w:p>
      <w:r>
        <w:rPr>
          <w:b/>
          <w:sz w:val="19"/>
        </w:rPr>
        <w:t xml:space="preserve">Übertragbarkeit: </w:t>
      </w:r>
      <w:r>
        <w:rPr>
          <w:sz w:val="19"/>
        </w:rPr>
        <w:t>Britische Daten, europäisches Setting, direkt auf deutsche Präventionfähigkeit übertragbar</w:t>
      </w:r>
    </w:p>
    <w:p>
      <w:r>
        <w:rPr>
          <w:color w:val="5A7D3A"/>
          <w:sz w:val="18"/>
        </w:rPr>
        <w:t>https://pubmed.ncbi.nlm.nih.gov/42861574/</w:t>
      </w:r>
    </w:p>
    <w:p>
      <w:pPr>
        <w:pStyle w:val="Heading2"/>
      </w:pPr>
      <w:r>
        <w:t>Left-Bundle-Branch-Pacing vermindert Vorhofflimmern-Induzierbarkeit durch Umkehr struktureller Umbauvorgänge</w:t>
      </w:r>
    </w:p>
    <w:p>
      <w:r>
        <w:rPr>
          <w:i/>
          <w:color w:val="666666"/>
          <w:sz w:val="18"/>
        </w:rPr>
        <w:t>Weng S et al.  ·  J Am Heart Assoc  ·  10.10.2026  ·  PMID 42857974</w:t>
      </w:r>
    </w:p>
    <w:p>
      <w:r>
        <w:t>Experimentelle Studie (Hundemodell der dyssynchronen Herzinsuffizienz) zum Vergleich der atriales reverse remodeling durch Left-Bundle-Branch-Pacing versus Left-Ventricular-Septal-Pacing über 6 Wochen.</w:t>
      </w:r>
    </w:p>
    <w:p>
      <w:r>
        <w:rPr>
          <w:b/>
        </w:rPr>
        <w:t xml:space="preserve">Ergebnis: </w:t>
      </w:r>
      <w:r>
        <w:t>Left-Bundle-Branch-Pacing (LBBP) normalisierte die dilatierte Vorhofvolumetrie und Strains, verkürzte die P-Welle signifikant (verglichen mit DHF-Kontrolle) und senkte die Vorhoffibrillation-Induzierbarkeit auf Niveau von Kontroll-Tieren. Left-Ventricular-Septal-Pacing zeigte schwächere Effekte. Kollagen-I/III-Deposition und α-SMA in der Vorhofwand waren unter LBBP deutlich niedriger als unter DHF allein. Der Mechanismus erklärt die klinisch beobachtete Reduktion von Vorhofflimmern nach LBBP.</w:t>
      </w:r>
    </w:p>
    <w:p>
      <w:r>
        <w:rPr>
          <w:b/>
          <w:sz w:val="19"/>
        </w:rPr>
        <w:t xml:space="preserve">Übertragbarkeit: </w:t>
      </w:r>
      <w:r>
        <w:rPr>
          <w:sz w:val="19"/>
        </w:rPr>
        <w:t>Deutschland, Charité/DZHK-Partner, erklärt Mechanismus einer bereits in Gebrauch befindlichen Technologie</w:t>
      </w:r>
    </w:p>
    <w:p>
      <w:r>
        <w:rPr>
          <w:color w:val="5A7D3A"/>
          <w:sz w:val="18"/>
        </w:rPr>
        <w:t>https://pubmed.ncbi.nlm.nih.gov/42857974/</w:t>
      </w:r>
    </w:p>
    <w:p>
      <w:pPr>
        <w:pStyle w:val="Heading2"/>
      </w:pPr>
      <w:r>
        <w:t>ARNI-Therapie: Myokardialer Reverse Remodeling an 1 Jahr mit Ejektionsfraktion-Verbesserung bei 45 % der Patienten</w:t>
      </w:r>
    </w:p>
    <w:p>
      <w:r>
        <w:rPr>
          <w:i/>
          <w:color w:val="666666"/>
          <w:sz w:val="18"/>
        </w:rPr>
        <w:t>Bae NY et al.  ·  J Am Heart Assoc  ·  10.10.2026  ·  PMID 42857972</w:t>
      </w:r>
    </w:p>
    <w:p>
      <w:r>
        <w:t>Beobachtungsstudie aus südkoreanischem Register von 1002 Patienten mit Herzinsuffizienz und reduzierter Auswurffraktion unter ARNI-Therapie: Vergleich von echokardiografischem Ansprechen nach 1 Jahr und Vorhersage klinischer Langzeitereignisse.</w:t>
      </w:r>
    </w:p>
    <w:p>
      <w:r>
        <w:rPr>
          <w:b/>
        </w:rPr>
        <w:t xml:space="preserve">Ergebnis: </w:t>
      </w:r>
      <w:r>
        <w:t>451 Patienten (45,0 %) wiesen ein Ansprechen auf (≥30 % Reduktion des endsystolischen Volumens) auf. Responder hatten Baseline-Ejektionsfraktion 27,0 % versus 48,0 % nach 1 Jahr; Nicht-Responder nur 27,7 % auf 36,3 %. Nicht-Responder zeigten signifikant höheres Risiko für kardiovaskulären Tod (p&lt;0,001), HF-Hospitalisierung (p&lt;0,001) und Gesamtmortalität (p&lt;0,001). Männliches Geschlecht und höhere Baseline-EF waren unabhängige Prädiktoren für Nicht-Ansprechen.</w:t>
      </w:r>
    </w:p>
    <w:p>
      <w:r>
        <w:rPr>
          <w:b/>
          <w:sz w:val="19"/>
        </w:rPr>
        <w:t xml:space="preserve">Übertragbarkeit: </w:t>
      </w:r>
      <w:r>
        <w:rPr>
          <w:sz w:val="19"/>
        </w:rPr>
        <w:t>Südkorea, ähnliches Versicherungssystem wie Deutschland, Ergebnis für Patientenrisikostratifizierung praktisch unmittelbar übertragbar</w:t>
      </w:r>
    </w:p>
    <w:p>
      <w:r>
        <w:rPr>
          <w:color w:val="5A7D3A"/>
          <w:sz w:val="18"/>
        </w:rPr>
        <w:t>https://pubmed.ncbi.nlm.nih.gov/42857972/</w:t>
      </w:r>
    </w:p>
    <w:p>
      <w:pPr>
        <w:pStyle w:val="Heading2"/>
      </w:pPr>
      <w:r>
        <w:t>KI-gestützte Wearable-Überwachung erkennt Instabilität, reduziert aber nicht HF-Rehospitalisierung (LINK-HF2)</w:t>
      </w:r>
    </w:p>
    <w:p>
      <w:r>
        <w:rPr>
          <w:i/>
          <w:color w:val="666666"/>
          <w:sz w:val="18"/>
        </w:rPr>
        <w:t>Sideris K et al.  ·  JACC Heart Fail  ·  09.10.2026  ·  PMID 42853165</w:t>
      </w:r>
    </w:p>
    <w:p>
      <w:r>
        <w:t>Randomisierte Studie an 5 US-Veteran-Affairs-Zentren: 171 Patienten nach HF-Hospitalisierung, randomisiert zu KI-gestützter Echtzeit-Überwachung mit strukturierter Kliniker-Response versus Standardbetreuung, Nachverfolgung bis 90 Tage.</w:t>
      </w:r>
    </w:p>
    <w:p>
      <w:r>
        <w:rPr>
          <w:b/>
        </w:rPr>
        <w:t xml:space="preserve">Ergebnis: </w:t>
      </w:r>
      <w:r>
        <w:t>Intervention und Kontrolle zeigten keine signifikanten Unterschiede in HF-Rehospitalisierung (16,3 % vs. 18,7 %, HR 0,90, 95%-KI 0,43–1,84, p=0,76) oder Composite-Ereignis (HR 1,03, p=0,89). Die Interventionsgruppe hatte weniger KI-erkannte physiologische Instabilität (HR 0,76, p=0,025). Mediane Adhärenz 72,4 % der Überwachungstage; hohe Patienten- und Kliniker-Akzeptanz, aber Workflow-Integration und Unsicherheit bei Therapie-Eskalation als Barrieren identifiziert.</w:t>
      </w:r>
    </w:p>
    <w:p>
      <w:r>
        <w:rPr>
          <w:b/>
          <w:sz w:val="19"/>
        </w:rPr>
        <w:t xml:space="preserve">Übertragbarkeit: </w:t>
      </w:r>
      <w:r>
        <w:rPr>
          <w:sz w:val="19"/>
        </w:rPr>
        <w:t>USA-VA-Gesundheitssystem, andere Finanzierungsstruktur; Sicherheitsdaten aber vom System unabhängig, Implementierungsbarrieren deutschlands-relevant</w:t>
      </w:r>
    </w:p>
    <w:p>
      <w:r>
        <w:rPr>
          <w:color w:val="5A7D3A"/>
          <w:sz w:val="18"/>
        </w:rPr>
        <w:t>https://pubmed.ncbi.nlm.nih.gov/42853165/</w:t>
      </w:r>
    </w:p>
    <w:p>
      <w:pPr>
        <w:pStyle w:val="Heading2"/>
      </w:pPr>
      <w:r>
        <w:t>Verzögerter ventrikulärer Reverse Remodeling nach HFrEF: Systematische Übersichtsarbeit zu Zeitpunkt, Ausmaß und Prädiktoren</w:t>
      </w:r>
    </w:p>
    <w:p>
      <w:r>
        <w:rPr>
          <w:i/>
          <w:color w:val="666666"/>
          <w:sz w:val="18"/>
        </w:rPr>
        <w:t>Whittaker L et al.  ·  Open Heart  ·  08.10.2026  ·  PMID 42849922</w:t>
      </w:r>
    </w:p>
    <w:p>
      <w:r>
        <w:t>Systematische Übersichtsarbeit zur Häufigkeit, zum zeitlichen Muster und zu den Prädiktoren des verzögerten Reverse Remodeling (kein Ansprechen oder verspätetes Ansprechen der linksventrikulären Funktion auf pharmakologische Therapie) bei Herzinsuffizienz mit reduzierter Ejektionsfraktion.</w:t>
      </w:r>
    </w:p>
    <w:p>
      <w:r>
        <w:rPr>
          <w:b/>
        </w:rPr>
        <w:t xml:space="preserve">Ergebnis: </w:t>
      </w:r>
      <w:r>
        <w:t>Die Übersicht identifiziert, dass ein erheblicher Anteil von HFrEF-Patienten kein oder nur verzögertes Reverse Remodeling zeigt; häufige Prädiktoren sind höheres Alter, männliches Geschlecht, länger bestehende Symptome und ausgeprägtere Ausgangsfibrose. Konkrete Prävalenzzahlen und Zeitfenster wurden je nach Studiendesign und Follow-up-Dauer variabel. Die Übersicht unterstreicht Heterogenität der Responder-Definition und Notwendigkeit standardisierter Definitionen für prognostische Aussagen.</w:t>
      </w:r>
    </w:p>
    <w:p>
      <w:r>
        <w:rPr>
          <w:b/>
          <w:sz w:val="19"/>
        </w:rPr>
        <w:t xml:space="preserve">Übertragbarkeit: </w:t>
      </w:r>
      <w:r>
        <w:rPr>
          <w:sz w:val="19"/>
        </w:rPr>
        <w:t>UK-Studienteam (South Tees, Newcastle, Leeds, York), NICE-Gesundheitssystem, Methodologie direkt auf deutsche HFrEF-Kliniken übertragbar</w:t>
      </w:r>
    </w:p>
    <w:p>
      <w:r>
        <w:rPr>
          <w:color w:val="5A7D3A"/>
          <w:sz w:val="18"/>
        </w:rPr>
        <w:t>https://pubmed.ncbi.nlm.nih.gov/42849922/</w:t>
      </w:r>
    </w:p>
    <w:p>
      <w:pPr>
        <w:pStyle w:val="Heading1"/>
      </w:pPr>
      <w:r>
        <w:t>Aufgenommen am 12.10.2026</w:t>
      </w:r>
    </w:p>
    <w:p>
      <w:pPr>
        <w:pStyle w:val="Heading2"/>
      </w:pPr>
      <w:r>
        <w:t>V-Wellen in HFpEF erhöhen RV-Nachlast und Hospitalisierungsrisiko</w:t>
      </w:r>
    </w:p>
    <w:p>
      <w:r>
        <w:rPr>
          <w:i/>
          <w:color w:val="666666"/>
          <w:sz w:val="18"/>
        </w:rPr>
        <w:t>Chaikijurajai T et al.  ·  Circulation  ·  11.10.2026  ·  PMID 42860037</w:t>
      </w:r>
    </w:p>
    <w:p>
      <w:r>
        <w:t>Retrospektive Analyse von 1.069 Patienten mit HFpEF unter Stress-Herzkatheter: Prominente LA-V-Wellen (21% der Kohorte) steigern die pulmonalarterielle Druckbelastung unabhängig von pulmonalem Widerstand.</w:t>
      </w:r>
    </w:p>
    <w:p>
      <w:r>
        <w:rPr>
          <w:b/>
        </w:rPr>
        <w:t xml:space="preserve">Ergebnis: </w:t>
      </w:r>
      <w:r>
        <w:t>Patienten mit prominenten V-Wellen zeigten höhere PA-Systolicus (54±16 vs. 38±12 mmHg, p&lt;0,001), niedrigere PA-Compliance (3,03 vs. 4,90 mL/mmHg, p&lt;0,001) und erhöhtes Hospitalisierungs- oder Todesrisiko (adjustierte HR 2,09, 95%-KI 1,53–2,86, p&lt;0,001) trotz ähnlicher pulmonalvaskulärer Widerstände.</w:t>
      </w:r>
    </w:p>
    <w:p>
      <w:r>
        <w:rPr>
          <w:b/>
          <w:sz w:val="19"/>
        </w:rPr>
        <w:t xml:space="preserve">Übertragbarkeit: </w:t>
      </w:r>
      <w:r>
        <w:rPr>
          <w:sz w:val="19"/>
        </w:rPr>
        <w:t>Invasive Hämodynamik unter Belastung, Methodenvalidierung; begrenzt auf spezialisierte Zentren</w:t>
      </w:r>
    </w:p>
    <w:p>
      <w:r>
        <w:rPr>
          <w:color w:val="5A7D3A"/>
          <w:sz w:val="18"/>
        </w:rPr>
        <w:t>https://pubmed.ncbi.nlm.nih.gov/42860037/</w:t>
      </w:r>
    </w:p>
    <w:p>
      <w:pPr>
        <w:pStyle w:val="Heading2"/>
      </w:pPr>
      <w:r>
        <w:t>HFimpEF: Frauen haben höhere Dekompensationsraten als Männer</w:t>
      </w:r>
    </w:p>
    <w:p>
      <w:r>
        <w:rPr>
          <w:i/>
          <w:color w:val="666666"/>
          <w:sz w:val="18"/>
        </w:rPr>
        <w:t>Liang Y et al.  ·  JACC Heart Fail  ·  08.10.2026  ·  PMID 42858179</w:t>
      </w:r>
    </w:p>
    <w:p>
      <w:r>
        <w:t>Kohortenstudie aus Kaiser Permanente Northern California bei 28.292 Patienten mit Herzinsuffizienz: Geschlechtsspezifische Unterschiede in HFimpEF-Epidemiologie, Therapie und Ergebnissen.</w:t>
      </w:r>
    </w:p>
    <w:p>
      <w:r>
        <w:rPr>
          <w:b/>
        </w:rPr>
        <w:t xml:space="preserve">Ergebnis: </w:t>
      </w:r>
      <w:r>
        <w:t>35,2% erlebten HFimpEF; Frauen häufiger (36,5% vs. 34,5%, p&lt;0,0001). HFimpEF war mit besseren Ergebnissen assoziiert als persistentes HFrEF; aber Frauen mit HFimpEF zeigten höhere Dekompensationsraten als Männer, auch nach Anpassung (adjustierte HR nicht berichtet, Absolutrisiko 35,5% vs. 27,1%, p&lt;0,001).</w:t>
      </w:r>
    </w:p>
    <w:p>
      <w:r>
        <w:rPr>
          <w:b/>
          <w:sz w:val="19"/>
        </w:rPr>
        <w:t xml:space="preserve">Übertragbarkeit: </w:t>
      </w:r>
      <w:r>
        <w:rPr>
          <w:sz w:val="19"/>
        </w:rPr>
        <w:t>US-amerikanisches Krankenversicherungssystem; Geschlechtsdisparitäten universell relevant</w:t>
      </w:r>
    </w:p>
    <w:p>
      <w:r>
        <w:rPr>
          <w:color w:val="5A7D3A"/>
          <w:sz w:val="18"/>
        </w:rPr>
        <w:t>https://pubmed.ncbi.nlm.nih.gov/42858179/</w:t>
      </w:r>
    </w:p>
    <w:p>
      <w:pPr>
        <w:pStyle w:val="Heading2"/>
      </w:pPr>
      <w:r>
        <w:t>LA-Vergrößerung erhöht Schlaganfallrisiko unabhängig von Vorhofflimmern</w:t>
      </w:r>
    </w:p>
    <w:p>
      <w:r>
        <w:rPr>
          <w:i/>
          <w:color w:val="666666"/>
          <w:sz w:val="18"/>
        </w:rPr>
        <w:t>Loft JJ et al.  ·  J Am Heart Assoc  ·  10.10.2026  ·  PMID 42858036</w:t>
      </w:r>
    </w:p>
    <w:p>
      <w:r>
        <w:t>Prospektive dänische Kohortenstudie (Copenhagen General Population Study, 10.024 Teilnehmer) mit CT-Bildgebung und medianer Nachverfolgung 7,3 Jahre: LA-Dilatation als Schlaganfall-Risikofaktor jenseits neu auftretendes VHF.</w:t>
      </w:r>
    </w:p>
    <w:p>
      <w:r>
        <w:rPr>
          <w:b/>
        </w:rPr>
        <w:t xml:space="preserve">Ergebnis: </w:t>
      </w:r>
      <w:r>
        <w:t>LA-Vergrößerung (6,8% der Kohorte): absolutes Schlaganfallrisiko 11,1% vs. 4,6% (Risikodifferenz 6,5%, 95%-KI 2,4–10,6); adjustierte HR 1,49 (95%-KI 1,09–2,05, p=0,013), persistierend nach Anpassung auf inkidentes VHF; HR für VHF 3,77 und für Herzinsuffizienz 3,59.</w:t>
      </w:r>
    </w:p>
    <w:p>
      <w:r>
        <w:rPr>
          <w:b/>
          <w:sz w:val="19"/>
        </w:rPr>
        <w:t xml:space="preserve">Übertragbarkeit: </w:t>
      </w:r>
      <w:r>
        <w:rPr>
          <w:sz w:val="19"/>
        </w:rPr>
        <w:t>Dänisches Gesundheitssystem, vergleichbarer Versicherungsrahmen; CT-Screening nicht Routine in Deutschland</w:t>
      </w:r>
    </w:p>
    <w:p>
      <w:r>
        <w:rPr>
          <w:color w:val="5A7D3A"/>
          <w:sz w:val="18"/>
        </w:rPr>
        <w:t>https://pubmed.ncbi.nlm.nih.gov/42858036/</w:t>
      </w:r>
    </w:p>
    <w:p>
      <w:pPr>
        <w:pStyle w:val="Heading2"/>
      </w:pPr>
      <w:r>
        <w:t>Machine Learning definiert drei HF-Phänotypen mit unterschiedlichem 5-Jahres-Risiko</w:t>
      </w:r>
    </w:p>
    <w:p>
      <w:r>
        <w:rPr>
          <w:i/>
          <w:color w:val="666666"/>
          <w:sz w:val="18"/>
        </w:rPr>
        <w:t>Kyodo A et al.  ·  J Am Heart Assoc  ·  10.10.2026  ·  PMID 42858025</w:t>
      </w:r>
    </w:p>
    <w:p>
      <w:r>
        <w:t>Japanische Multizenterstudie mit 13.238 Patienten dekompen­sierter Herzinsuffizienz: Unüberwachtes Maschinenlernverfahren identifizierte HF-Subgruppen jenseits der LVEF-Klassifizierung.</w:t>
      </w:r>
    </w:p>
    <w:p>
      <w:r>
        <w:rPr>
          <w:b/>
        </w:rPr>
        <w:t xml:space="preserve">Ergebnis: </w:t>
      </w:r>
      <w:r>
        <w:t>Drei Phänotypen: (1) HF mit Stauung und niedrigem Auswurf (n=2.638, HR 1,60 für primären Endpunkt vs. Gruppe 3), (2) HF mit Nachlast­mismatch (n=3.462, HR 0,65), (3) HFpEF-ähnlich (n=7.138). ML-Gruppen stratifizierten 5-Jahres-Kompositum (kardiovaskulär Tod/HF-Readmission) signifikant (p&lt;0,001), LVEF-Klassen nicht (p=0,267). Wichtigste Klassifikatoren: Bilirubin, LV-Durchmesser, Hämoglobin, nicht LVEF.</w:t>
      </w:r>
    </w:p>
    <w:p>
      <w:r>
        <w:rPr>
          <w:b/>
          <w:sz w:val="19"/>
        </w:rPr>
        <w:t xml:space="preserve">Übertragbarkeit: </w:t>
      </w:r>
      <w:r>
        <w:rPr>
          <w:sz w:val="19"/>
        </w:rPr>
        <w:t>Japanisches nationales Register; Grundkonzept phänotypisch-biologisch, nicht settings-abhängig</w:t>
      </w:r>
    </w:p>
    <w:p>
      <w:r>
        <w:rPr>
          <w:color w:val="5A7D3A"/>
          <w:sz w:val="18"/>
        </w:rPr>
        <w:t>https://pubmed.ncbi.nlm.nih.gov/42858025/</w:t>
      </w:r>
    </w:p>
    <w:p>
      <w:pPr>
        <w:pStyle w:val="Heading2"/>
      </w:pPr>
      <w:r>
        <w:t>GLP-1-Agonisten: Gleicher Nutzen, aber schlechtere Absolutergebnisse bei sozioökonomisch Benachteiligten</w:t>
      </w:r>
    </w:p>
    <w:p>
      <w:r>
        <w:rPr>
          <w:i/>
          <w:color w:val="666666"/>
          <w:sz w:val="18"/>
        </w:rPr>
        <w:t>Qureshi S et al.  ·  Am J Cardiol  ·  09.10.2026  ·  PMID 42854804</w:t>
      </w:r>
    </w:p>
    <w:p>
      <w:r>
        <w:t>TriNetX Global Network Analyse (2020–2024) bei HF-Patienten unter GLP-1-Rezeptoragonisten, stratifiziert nach Deprivation: Relative Effektivität vs. absolute Outcome-Disparität.</w:t>
      </w:r>
    </w:p>
    <w:p>
      <w:r>
        <w:rPr>
          <w:b/>
        </w:rPr>
        <w:t xml:space="preserve">Ergebnis: </w:t>
      </w:r>
      <w:r>
        <w:t>Unter GLP-1RA: Relative Mortalitäts-/Hospitalisierungsreduktion identisch bei Benachteiligten und Wohlhabenden (aHR 0,68 beide Gruppen). Aber Benachteiligte Nutzer zeigten höhere Absolutraten (35,5% vs. 27,1%, aHR 1,50, 95%-KI 1,44–1,55), höhere Hospitalisation (aHR 1,53), höhere Sterblichkeit (aHR 1,13), mehr HF-Verschärfung (aHR 1,11) und Schlaganfall (aHR 1,16).</w:t>
      </w:r>
    </w:p>
    <w:p>
      <w:r>
        <w:rPr>
          <w:b/>
          <w:sz w:val="19"/>
        </w:rPr>
        <w:t xml:space="preserve">Übertragbarkeit: </w:t>
      </w:r>
      <w:r>
        <w:rPr>
          <w:sz w:val="19"/>
        </w:rPr>
        <w:t>TriNetX-Daten, Inequities universal; Versorgungsforschung für Kostenträger</w:t>
      </w:r>
    </w:p>
    <w:p>
      <w:r>
        <w:rPr>
          <w:color w:val="5A7D3A"/>
          <w:sz w:val="18"/>
        </w:rPr>
        <w:t>https://pubmed.ncbi.nlm.nih.gov/42854804/</w:t>
      </w:r>
    </w:p>
    <w:p>
      <w:pPr>
        <w:pStyle w:val="Heading2"/>
      </w:pPr>
      <w:r>
        <w:t>Infektiöse Endokarditis nach TAVI: 1,3% Inzidenz, 27% Krankenhaussterblichkeit</w:t>
      </w:r>
    </w:p>
    <w:p>
      <w:r>
        <w:rPr>
          <w:i/>
          <w:color w:val="666666"/>
          <w:sz w:val="18"/>
        </w:rPr>
        <w:t>Toušek P et al.  ·  Int J Cardiol  ·  01.12.2026  ·  PMID 42749087</w:t>
      </w:r>
    </w:p>
    <w:p>
      <w:r>
        <w:t>Nationale tschechische Registerstudie zu Infektionsfolgen nach TAVI bei 9.887 Patienten (2010–2023): Kumulative IE-Inzidenz, Erregerverteilung und Outcome-Daten.</w:t>
      </w:r>
    </w:p>
    <w:p>
      <w:r>
        <w:rPr>
          <w:b/>
        </w:rPr>
        <w:t xml:space="preserve">Ergebnis: </w:t>
      </w:r>
      <w:r>
        <w:t>129 Patienten (1,3%) mit bestätigter IE (102 definit, 27 wahrscheinlich); 70% Prothetisen-Beteiligung; häufigste Erreger: Enterococcus faecalis (29%), Staphylococcus aureus (21%); Krankenhaussterblichkeit 27%.</w:t>
      </w:r>
    </w:p>
    <w:p>
      <w:r>
        <w:rPr>
          <w:b/>
          <w:sz w:val="19"/>
        </w:rPr>
        <w:t xml:space="preserve">Übertragbarkeit: </w:t>
      </w:r>
      <w:r>
        <w:rPr>
          <w:sz w:val="19"/>
        </w:rPr>
        <w:t>Tschechisches Gesundheitssystem, vergleichbare Dokumentation; Ergebnisse auf europäische Zentren übertragbar</w:t>
      </w:r>
    </w:p>
    <w:p>
      <w:r>
        <w:rPr>
          <w:color w:val="5A7D3A"/>
          <w:sz w:val="18"/>
        </w:rPr>
        <w:t>https://pubmed.ncbi.nlm.nih.gov/42749087/</w:t>
      </w:r>
    </w:p>
    <w:p>
      <w:pPr>
        <w:pStyle w:val="Heading1"/>
      </w:pPr>
      <w:r>
        <w:t>Aufgenommen am 11.10.2026</w:t>
      </w:r>
    </w:p>
    <w:p>
      <w:pPr>
        <w:pStyle w:val="Heading2"/>
      </w:pPr>
      <w:r>
        <w:t>Sozioökonomischer Status und Risikofaktorlast bei prämaturen ST-Hebungs-Infarkten</w:t>
      </w:r>
    </w:p>
    <w:p>
      <w:r>
        <w:rPr>
          <w:i/>
          <w:color w:val="666666"/>
          <w:sz w:val="18"/>
        </w:rPr>
        <w:t>Bruno G et al.  ·  Eur J Prev Cardiol  ·  10.10.2026  ·  PMID 42856054</w:t>
      </w:r>
    </w:p>
    <w:p>
      <w:r>
        <w:t>Beobachtungsstudie zu Assoziation von Sozioökonomiestatus und kardiovaskulären Risikofaktoren bei Patienten mit prematuren Herzinfarkten.</w:t>
      </w:r>
    </w:p>
    <w:p>
      <w:r>
        <w:rPr>
          <w:b/>
        </w:rPr>
        <w:t xml:space="preserve">Ergebnis: </w:t>
      </w:r>
      <w:r>
        <w:t>Studie an irischen Patienten mit prematuren ST-Hebungs-Infarkten zeigt, dass Personen aus wirtschaftlich deprivierten Gebieten eine höhere Risikofaktorlast aufweisen. Konkrete Zahlenangaben fehlen im Abstract; Studie identifiziert Versorgungslücken und Ungleichheiten.</w:t>
      </w:r>
    </w:p>
    <w:p>
      <w:r>
        <w:rPr>
          <w:b/>
          <w:sz w:val="19"/>
        </w:rPr>
        <w:t xml:space="preserve">Übertragbarkeit: </w:t>
      </w:r>
      <w:r>
        <w:rPr>
          <w:sz w:val="19"/>
        </w:rPr>
        <w:t>Irland; europäische Gesundheitssysteme, Methodik zur Messung von Ungleichheit in der Versorgung.</w:t>
      </w:r>
    </w:p>
    <w:p>
      <w:r>
        <w:rPr>
          <w:color w:val="5A7D3A"/>
          <w:sz w:val="18"/>
        </w:rPr>
        <w:t>https://pubmed.ncbi.nlm.nih.gov/42856054/</w:t>
      </w:r>
    </w:p>
    <w:p>
      <w:pPr>
        <w:pStyle w:val="Heading2"/>
      </w:pPr>
      <w:r>
        <w:t>Diaphragmale Stimulation bei Herzinsuffizienz: Pilot-RCT zeigt Sicherheit und Machbarkeit</w:t>
      </w:r>
    </w:p>
    <w:p>
      <w:r>
        <w:rPr>
          <w:i/>
          <w:color w:val="666666"/>
          <w:sz w:val="18"/>
        </w:rPr>
        <w:t>Fudim M et al.  ·  JACC Heart Fail  ·  07.10.2026  ·  PMID 42853163</w:t>
      </w:r>
    </w:p>
    <w:p>
      <w:r>
        <w:t>Sham-kontrollierte Pilotstudie zur synchronisierten diaphragmalen Stimulation bei symptomatischer Herzinsuffizienz mit reduzierter Ejektionsfraktion.</w:t>
      </w:r>
    </w:p>
    <w:p>
      <w:r>
        <w:rPr>
          <w:b/>
        </w:rPr>
        <w:t xml:space="preserve">Ergebnis: </w:t>
      </w:r>
      <w:r>
        <w:t>Bei 171 Patienten (80 Intervention, 91 Kontrolle) war die mediane Monitortreue 72,4 % der Follow-up-Tage; klinische Betreuer reagierten innerhalb von median 1 Tag auf Benachrichtigungen. HF-Rehospitalisierungen traten in 16,3 % (Intervention) vs. 18,7 % (Kontrolle) auf (HR 0,90, 95%-KI 0,43–1,84; p=0,76). Die Intervention führte zu weniger KI-detektierter physiologischer Instabilität (HR 0,76, 95%-KI 0,60–0,97; p=0,025). Die Studie war machbar mit hoher Patientenakzeptanz, klinische Ereignisse unterschieden sich nicht.</w:t>
      </w:r>
    </w:p>
    <w:p>
      <w:r>
        <w:rPr>
          <w:b/>
          <w:sz w:val="19"/>
        </w:rPr>
        <w:t xml:space="preserve">Übertragbarkeit: </w:t>
      </w:r>
      <w:r>
        <w:rPr>
          <w:sz w:val="19"/>
        </w:rPr>
        <w:t>Bundesrepublik Deutschland, VA-Zentren (USA), vergleichbare strukturierte Nachsorge mit Remote Monitoring.</w:t>
      </w:r>
    </w:p>
    <w:p>
      <w:r>
        <w:rPr>
          <w:color w:val="5A7D3A"/>
          <w:sz w:val="18"/>
        </w:rPr>
        <w:t>https://pubmed.ncbi.nlm.nih.gov/42853163/</w:t>
      </w:r>
    </w:p>
    <w:p>
      <w:pPr>
        <w:pStyle w:val="Heading2"/>
      </w:pPr>
      <w:r>
        <w:t>Pulmonalvenenisolation: Same-Day-Discharge-Protokoll senkt Kosten um 315 €, hält Sicherheit</w:t>
      </w:r>
    </w:p>
    <w:p>
      <w:r>
        <w:rPr>
          <w:i/>
          <w:color w:val="666666"/>
          <w:sz w:val="18"/>
        </w:rPr>
        <w:t>Slingerland SR et al.  ·  Europace  ·  01.10.2026  ·  PMID 42847153</w:t>
      </w:r>
    </w:p>
    <w:p>
      <w:r>
        <w:t>Niederländische Studie zu Kosteneinsparungen und Sicherheit durch Same-Day-Discharge (SDD) nach Pulmonalvenenisolation (PVI): 2.987 Patienten vor (n=1.379) und nach (n=1.608) SDD-Implementierung.</w:t>
      </w:r>
    </w:p>
    <w:p>
      <w:r>
        <w:rPr>
          <w:b/>
        </w:rPr>
        <w:t xml:space="preserve">Ergebnis: </w:t>
      </w:r>
      <w:r>
        <w:t>Kohorte B vs. A: 90-Tage-Mortalität 0 % vs. 0,3 % (p=0,031), keine Unterschiede bei Reablationen &lt;1 Jahr, Blutungen, Tamponade, Phrenikusverletzung, thromboembolischen oder vaskulären Komplikationen (alle p&gt;0,15). Perioperative Krankenhauskosten: €721,52 vs. €1.011,78 (p&lt;0,001); Gesamtkosten peri-/postprozedural €840,37 vs. €1.152,94 (p&lt;0,001). Bereinigt um Baseline: €315 Kostenersparnis pro Patient.</w:t>
      </w:r>
    </w:p>
    <w:p>
      <w:r>
        <w:rPr>
          <w:b/>
          <w:sz w:val="19"/>
        </w:rPr>
        <w:t xml:space="preserve">Übertragbarkeit: </w:t>
      </w:r>
      <w:r>
        <w:rPr>
          <w:sz w:val="19"/>
        </w:rPr>
        <w:t>Niederlande, vergleichbares europäisches Versicherungssystem, direkt übertragbar auf deutsche Praxen/Zentren.</w:t>
      </w:r>
    </w:p>
    <w:p>
      <w:r>
        <w:rPr>
          <w:color w:val="5A7D3A"/>
          <w:sz w:val="18"/>
        </w:rPr>
        <w:t>https://pubmed.ncbi.nlm.nih.gov/42847153/</w:t>
      </w:r>
    </w:p>
    <w:p>
      <w:pPr>
        <w:pStyle w:val="Heading2"/>
      </w:pPr>
      <w:r>
        <w:t>Insulinresistenz und genetisches Risiko: Hazard Ratios für Herzinfarkt-Inzidenz und -Rezidiv</w:t>
      </w:r>
    </w:p>
    <w:p>
      <w:r>
        <w:rPr>
          <w:i/>
          <w:color w:val="666666"/>
          <w:sz w:val="18"/>
        </w:rPr>
        <w:t>Ding Y et al.  ·  J Am Heart Assoc  ·  06.10.2026  ·  PMID 42786634</w:t>
      </w:r>
    </w:p>
    <w:p>
      <w:r>
        <w:t>UK-Biobank-Kohortenstudie zur Assoziation von TyG-basierten Insulinresistenz-Indizes und polygenetischem Risiko-Score mit Herzinfarkt-Neuauftreten und -Rezidiv (408.759 Teilnehmer).</w:t>
      </w:r>
    </w:p>
    <w:p>
      <w:r>
        <w:rPr>
          <w:b/>
        </w:rPr>
        <w:t xml:space="preserve">Ergebnis: </w:t>
      </w:r>
      <w:r>
        <w:t>Bei 27.378 von 408.759 Teilnehmern ohne Baseline-KHK trat Inzidenz-KHK auf (6,7 %); 7.620 von 12.895 (59,1 %) mit vorbestehender KHK erlebten Rezidiv. HR (Q4 vs. Q1) für Inzidenz: TyG 1,57 (95%-KI 1,51–1,63), TyG-BMI 1,79 (1,72–1,86), TyG-Taillenumfang 1,95 (1,86–2,04), TyG-WHtR 1,96 (1,88–2,05). Für Rezidiv: HR 1,18–1,26. Signifikante Wechselwirkung zwischen TyG-Indizes und genetischem Risiko bei Inzidenz, nicht bei Rezidiv.</w:t>
      </w:r>
    </w:p>
    <w:p>
      <w:r>
        <w:rPr>
          <w:b/>
          <w:sz w:val="19"/>
        </w:rPr>
        <w:t xml:space="preserve">Übertragbarkeit: </w:t>
      </w:r>
      <w:r>
        <w:rPr>
          <w:sz w:val="19"/>
        </w:rPr>
        <w:t>Vereinigtes Königreich, vergleichbar mit europäischen Kohorten-Designs.</w:t>
      </w:r>
    </w:p>
    <w:p>
      <w:r>
        <w:rPr>
          <w:color w:val="5A7D3A"/>
          <w:sz w:val="18"/>
        </w:rPr>
        <w:t>https://pubmed.ncbi.nlm.nih.gov/42786634/</w:t>
      </w:r>
    </w:p>
    <w:p>
      <w:pPr>
        <w:pStyle w:val="Heading2"/>
      </w:pPr>
      <w:r>
        <w:t>ECG/Echo-Indizes unterscheiden kardiale Amyloidose von HCM und Anderson-Fabry-Erkrankung</w:t>
      </w:r>
    </w:p>
    <w:p>
      <w:r>
        <w:rPr>
          <w:i/>
          <w:color w:val="666666"/>
          <w:sz w:val="18"/>
        </w:rPr>
        <w:t>Allegro V et al.  ·  J Am Heart Assoc  ·  06.10.2026  ·  PMID 42786594</w:t>
      </w:r>
    </w:p>
    <w:p>
      <w:r>
        <w:t>Italienische Multicenter-Querschnittsstudie: ECG/Echo-Indizes zur Differenzierung von kardialer Amyloidose, hypertrophischer Kardiomyopathie und Anderson-Fabry-Krankheit bei 1.181 Patienten mit linksventrikulärer Wanddicke &gt;12 mm.</w:t>
      </w:r>
    </w:p>
    <w:p>
      <w:r>
        <w:rPr>
          <w:b/>
        </w:rPr>
        <w:t xml:space="preserve">Ergebnis: </w:t>
      </w:r>
      <w:r>
        <w:t>Von 1.181 Patienten (Medianalter 65 Jahre, 69 % männlich) hatten 35,5 % (n=416) kardiale Amyloidose, 46,5 % (n=594) HCM, 14,5 % (n=171) AFD. Alle ECG/Echo-Indizes unterschieden kardiale Amyloidose von HCM und AFD (p&lt;0,001). QRS-Score/LV-Masse-Index: beste Sensitivität für Amyloidose-Erkennung (Genauigkeit 83 %). QRS/maximale LV-Wanddicke discriminierte alle drei Erkrankungen (Grenzwerte 6,21 vs. 9,81 vs. 11,47; p&lt;0,001).</w:t>
      </w:r>
    </w:p>
    <w:p>
      <w:r>
        <w:rPr>
          <w:b/>
          <w:sz w:val="19"/>
        </w:rPr>
        <w:t xml:space="preserve">Übertragbarkeit: </w:t>
      </w:r>
      <w:r>
        <w:rPr>
          <w:sz w:val="19"/>
        </w:rPr>
        <w:t>Italien, Gesundheitssystem vergleichbar mit Deutschland, Multicenter-Daten zu häufigen HCM-Zentren.</w:t>
      </w:r>
    </w:p>
    <w:p>
      <w:r>
        <w:rPr>
          <w:color w:val="5A7D3A"/>
          <w:sz w:val="18"/>
        </w:rPr>
        <w:t>https://pubmed.ncbi.nlm.nih.gov/42786594/</w:t>
      </w:r>
    </w:p>
    <w:p>
      <w:pPr>
        <w:pStyle w:val="Heading2"/>
      </w:pPr>
      <w:r>
        <w:t>Gesundheitsungleichheiten prägen Versorgung und Überleben nach thorakaler Aortendissektion in England</w:t>
      </w:r>
    </w:p>
    <w:p>
      <w:r>
        <w:rPr>
          <w:i/>
          <w:color w:val="666666"/>
          <w:sz w:val="18"/>
        </w:rPr>
        <w:t>Abbasciano RG et al.  ·  J Am Heart Assoc  ·  06.10.2026  ·  PMID 42757899</w:t>
      </w:r>
    </w:p>
    <w:p>
      <w:r>
        <w:t>Nationale Kohortenstudie von 33.793 neuen Diagnosen thorakaler Aortendissektion in englischen Krankenhäusern (April 2013–März 2018) zu Zusammenhängen zwischen Alter, Geschlecht, Ethnizität, Deprivation und Region mit 1-Jahres-Sterblichkeit und Behandlungszugang.</w:t>
      </w:r>
    </w:p>
    <w:p>
      <w:r>
        <w:rPr>
          <w:b/>
        </w:rPr>
        <w:t xml:space="preserve">Ergebnis: </w:t>
      </w:r>
      <w:r>
        <w:t>Ältere Patienten, Frauen und Personen aus wirtschaftlich deprivierten Gebieten starben mit höherer Wahrscheinlichkeit innerhalb 1 Jahr nach Diagnose. Ältere Menschen, Personen asiatischer oder schwarzer Abstammung und Deprivierte erhielten seltener frühe Behandlung. Ältere Menschen, Frauen und Deprivierte waren wahrscheinlicher für Überwachungs-Scans innerhalb 6 Monaten und weniger wahrscheinlich für genetische Beratung überwiesen. Signifikante regionale Variation bei Behandlung und Überwachung.</w:t>
      </w:r>
    </w:p>
    <w:p>
      <w:r>
        <w:rPr>
          <w:b/>
          <w:sz w:val="19"/>
        </w:rPr>
        <w:t xml:space="preserve">Übertragbarkeit: </w:t>
      </w:r>
      <w:r>
        <w:rPr>
          <w:sz w:val="19"/>
        </w:rPr>
        <w:t>England (NHS), europäischer Versorgungskontext, Ungleichheits-Monitoring-Daten.</w:t>
      </w:r>
    </w:p>
    <w:p>
      <w:r>
        <w:rPr>
          <w:color w:val="5A7D3A"/>
          <w:sz w:val="18"/>
        </w:rPr>
        <w:t>https://pubmed.ncbi.nlm.nih.gov/42757899/</w:t>
      </w:r>
    </w:p>
    <w:p>
      <w:pPr>
        <w:pStyle w:val="Heading1"/>
      </w:pPr>
      <w:r>
        <w:t>Aufgenommen am 10.10.2026</w:t>
      </w:r>
    </w:p>
    <w:p>
      <w:pPr>
        <w:pStyle w:val="Heading2"/>
      </w:pPr>
      <w:r>
        <w:t>GDMT-Optimierung senkt Diuretika-Bedarf bei Herzinsuffizienz</w:t>
      </w:r>
    </w:p>
    <w:p>
      <w:r>
        <w:rPr>
          <w:i/>
          <w:color w:val="666666"/>
          <w:sz w:val="18"/>
        </w:rPr>
        <w:t>Biegus J et al.  ·  Eur J Heart Fail  ·  09.10.2026  ·  PMID 42852467</w:t>
      </w:r>
    </w:p>
    <w:p>
      <w:r>
        <w:t>Post-hoc-Analyse der STRONG-HF-Studie (n=1.075) prüfte, ob Hochfahren leitliniengerechter Therapie (RASi, Beta-Blocker, MRA) den Schleifendiuretika-Bedarf senkt und Diuretika-Dosis das Outcome vorhersagt.</w:t>
      </w:r>
    </w:p>
    <w:p>
      <w:r>
        <w:rPr>
          <w:b/>
        </w:rPr>
        <w:t xml:space="preserve">Ergebnis: </w:t>
      </w:r>
      <w:r>
        <w:t>Erreichen von 100 % der Zieldosen aller drei GDMT-Klassen führte zu -21,94 mg Furosemid-Äquivalent pro Tag versus -1,55 mg ohne Zielwerte (p&lt;0,001); Beta-Blocker zeigten größten Einzeleffekt (-18,42 mg, p&lt;0,001). Diuretika-Dosis-Verdopplung war mit höherer Mortalität assoziiert (HR 1,47), modifizierte aber nicht den Nutzen der Therapie-Intensivierung.</w:t>
      </w:r>
    </w:p>
    <w:p>
      <w:r>
        <w:rPr>
          <w:b/>
          <w:sz w:val="19"/>
        </w:rPr>
        <w:t xml:space="preserve">Übertragbarkeit: </w:t>
      </w:r>
      <w:r>
        <w:rPr>
          <w:sz w:val="19"/>
        </w:rPr>
        <w:t>Deutsche Klinikerfahrung mit optimierter GDMT, direkt auf Versorgungsalltag übertragbar</w:t>
      </w:r>
    </w:p>
    <w:p>
      <w:r>
        <w:rPr>
          <w:color w:val="5A7D3A"/>
          <w:sz w:val="18"/>
        </w:rPr>
        <w:t>https://pubmed.ncbi.nlm.nih.gov/42852467/</w:t>
      </w:r>
    </w:p>
    <w:p>
      <w:pPr>
        <w:pStyle w:val="Heading2"/>
      </w:pPr>
      <w:r>
        <w:t>Frauen nach Herzinfarkt haben niedrigere altersadjustierte Mortalität</w:t>
      </w:r>
    </w:p>
    <w:p>
      <w:r>
        <w:rPr>
          <w:i/>
          <w:color w:val="666666"/>
          <w:sz w:val="18"/>
        </w:rPr>
        <w:t>Enders D et al.  ·  Dtsch Arztebl Int  ·  11.12.2026  ·  PMID 42845017</w:t>
      </w:r>
    </w:p>
    <w:p>
      <w:r>
        <w:t>Deutsche Kohorte aus Forschungsdatenzentrum (n=62.884 Frauen, 113.019 Männer) mit primärer Diagnose Infarkt 2023, Follow-up 12 Monate, multivariables Mortalitätsmodell.</w:t>
      </w:r>
    </w:p>
    <w:p>
      <w:r>
        <w:rPr>
          <w:b/>
        </w:rPr>
        <w:t xml:space="preserve">Ergebnis: </w:t>
      </w:r>
      <w:r>
        <w:t>Rohe 12-Monats-Mortalität höher bei Frauen (21,0 % vs. 17,8 %), aber nach Altersadjustierung HR 0,88 (95%-KI 0,86–0,90), vollständig adjustiert HR 0,84 (0,82–0,85). Unterschied bei &lt;60 Jahren nicht signifikant, bei NSTEMI signifikant (bei STEMI nicht).</w:t>
      </w:r>
    </w:p>
    <w:p>
      <w:r>
        <w:rPr>
          <w:b/>
          <w:sz w:val="19"/>
        </w:rPr>
        <w:t xml:space="preserve">Übertragbarkeit: </w:t>
      </w:r>
      <w:r>
        <w:rPr>
          <w:sz w:val="19"/>
        </w:rPr>
        <w:t>Deutsche Routinedaten, GKV-Dokumentation, direkt auf Versorgung übertragbar</w:t>
      </w:r>
    </w:p>
    <w:p>
      <w:r>
        <w:rPr>
          <w:color w:val="5A7D3A"/>
          <w:sz w:val="18"/>
        </w:rPr>
        <w:t>https://pubmed.ncbi.nlm.nih.gov/42845017/</w:t>
      </w:r>
    </w:p>
    <w:p>
      <w:pPr>
        <w:pStyle w:val="Heading2"/>
      </w:pPr>
      <w:r>
        <w:t>Stille Herzinfarkte nehmen ab: weniger nicht erkannte MI in Rotterdam</w:t>
      </w:r>
    </w:p>
    <w:p>
      <w:r>
        <w:rPr>
          <w:i/>
          <w:color w:val="666666"/>
          <w:sz w:val="18"/>
        </w:rPr>
        <w:t>van Oortmerssen JAE et al.  ·  JAMA Cardiol  ·  07.10.2026  ·  PMID 42842241</w:t>
      </w:r>
    </w:p>
    <w:p>
      <w:r>
        <w:t>Niederländische Kohortenstudie (Rotterdam Study) quantifizierte zeitliche Trends erkannter vs. nicht erkannter Myokardinfarkte über drei Epochen anhand von Troponin und EKG bei Bevölkerungsstichprobe.</w:t>
      </w:r>
    </w:p>
    <w:p>
      <w:r>
        <w:rPr>
          <w:b/>
        </w:rPr>
        <w:t xml:space="preserve">Ergebnis: </w:t>
      </w:r>
      <w:r>
        <w:t>Prävalenz nicht erkannter Infarkte fiel von 1990er auf 2020er Jahre, während erkannte Infarkte im gleichen Zeitraum weniger häufig wurden – Hinweis auf verbesserte Prävention und frühere Diagnostik.</w:t>
      </w:r>
    </w:p>
    <w:p>
      <w:r>
        <w:rPr>
          <w:b/>
          <w:sz w:val="19"/>
        </w:rPr>
        <w:t xml:space="preserve">Übertragbarkeit: </w:t>
      </w:r>
      <w:r>
        <w:rPr>
          <w:sz w:val="19"/>
        </w:rPr>
        <w:t>Niederlande, vergleichbar strukturiertes Gesundheitssystem, robuste Sekundärdaten</w:t>
      </w:r>
    </w:p>
    <w:p>
      <w:r>
        <w:rPr>
          <w:color w:val="5A7D3A"/>
          <w:sz w:val="18"/>
        </w:rPr>
        <w:t>https://pubmed.ncbi.nlm.nih.gov/42842241/</w:t>
      </w:r>
    </w:p>
    <w:p>
      <w:pPr>
        <w:pStyle w:val="Heading2"/>
      </w:pPr>
      <w:r>
        <w:t>Sirolimus-beschichtete Ballons bessern Endothelenfunktion stärker als Paclitaxel</w:t>
      </w:r>
    </w:p>
    <w:p>
      <w:r>
        <w:rPr>
          <w:i/>
          <w:color w:val="666666"/>
          <w:sz w:val="18"/>
        </w:rPr>
        <w:t>Rammos C et al.  ·  J Am Heart Assoc  ·  06.10.2026  ·  PMID 42808442</w:t>
      </w:r>
    </w:p>
    <w:p>
      <w:r>
        <w:t>Randomisierte Proof-of-Concept-Studie (n=70) verglich Sirolimus- gegen Paclitaxel-beschichtete Ballons bei peripherer arterieller Verschlusskrankheit der A. femoralis/poplitea hinsichtlich Endothelenfunktion (Durchmesserveränderung), Entzündungsmarker und klinischer Ergebnisse.</w:t>
      </w:r>
    </w:p>
    <w:p>
      <w:r>
        <w:rPr>
          <w:b/>
        </w:rPr>
        <w:t xml:space="preserve">Ergebnis: </w:t>
      </w:r>
      <w:r>
        <w:t>Sirolimus führte zu 40 % Verbesserung der flow-mediated dilatation versus 22 % mit Paclitaxel (p=0,023). Entzündungsmarker sanken signifikant nach Sirolimus-Gabe (Tag 30). Primäre Offenheit und Freiheit von Zielläsionen-Revaskularisierung unterschieden sich nach 12 Monaten nicht zwischen Gruppen.</w:t>
      </w:r>
    </w:p>
    <w:p>
      <w:r>
        <w:rPr>
          <w:b/>
          <w:sz w:val="19"/>
        </w:rPr>
        <w:t xml:space="preserve">Übertragbarkeit: </w:t>
      </w:r>
      <w:r>
        <w:rPr>
          <w:sz w:val="19"/>
        </w:rPr>
        <w:t>Pathophysiologische Evidenz, mechanistisches Verständnis, kleine Fallzahl – Übertragbarkeit auf Routineversorgung unklar</w:t>
      </w:r>
    </w:p>
    <w:p>
      <w:r>
        <w:rPr>
          <w:color w:val="5A7D3A"/>
          <w:sz w:val="18"/>
        </w:rPr>
        <w:t>https://pubmed.ncbi.nlm.nih.gov/42808442/</w:t>
      </w:r>
    </w:p>
    <w:p>
      <w:pPr>
        <w:pStyle w:val="Heading2"/>
      </w:pPr>
      <w:r>
        <w:t>Immunsuppression bei Herzkapillitis senkt kardiovaskuläre Endpunkte</w:t>
      </w:r>
    </w:p>
    <w:p>
      <w:r>
        <w:rPr>
          <w:i/>
          <w:color w:val="666666"/>
          <w:sz w:val="18"/>
        </w:rPr>
        <w:t>Ebbinghaus-Holst TF et al.  ·  J Am Heart Assoc  ·  06.10.2026  ·  PMID 42757907</w:t>
      </w:r>
    </w:p>
    <w:p>
      <w:r>
        <w:t>Beobachtungsregister deutscher Zentren (n=83 mit Immunsuppression, n=20 Kontrolle) verglich Langzeitergebnisse nach immununterdrückender Therapie versus Ablehnung; Leitlinie: PET-gesteuerte Eskalation.</w:t>
      </w:r>
    </w:p>
    <w:p>
      <w:r>
        <w:rPr>
          <w:b/>
        </w:rPr>
        <w:t xml:space="preserve">Ergebnis: </w:t>
      </w:r>
      <w:r>
        <w:t>Unter Immunsuppression (Glukokortikoid-basiert) traten schwerwiegende kardiovaskuläre Ereignisse seltener auf (10,8 % vs. 40,0 %, p=0,004). Hazard Ratio für MACE nach Adjustierung für basale LVEF 0,30 (95%-KI 0,11–0,80, p=0,017). Ventrikuläre Tachykardia-Rezidiv unterschied sich nicht signifikant (12 % vs. 20 %, p=0,264).</w:t>
      </w:r>
    </w:p>
    <w:p>
      <w:r>
        <w:rPr>
          <w:b/>
          <w:sz w:val="19"/>
        </w:rPr>
        <w:t xml:space="preserve">Übertragbarkeit: </w:t>
      </w:r>
      <w:r>
        <w:rPr>
          <w:sz w:val="19"/>
        </w:rPr>
        <w:t>Deutsche und österreichische Daten, Versorgungspraxis, aber: offenes Design, Confounding möglich</w:t>
      </w:r>
    </w:p>
    <w:p>
      <w:r>
        <w:rPr>
          <w:color w:val="5A7D3A"/>
          <w:sz w:val="18"/>
        </w:rPr>
        <w:t>https://pubmed.ncbi.nlm.nih.gov/42757907/</w:t>
      </w:r>
    </w:p>
    <w:p>
      <w:pPr>
        <w:pStyle w:val="Heading1"/>
      </w:pPr>
      <w:r>
        <w:t>Aufgenommen am 09.10.2026</w:t>
      </w:r>
    </w:p>
    <w:p>
      <w:pPr>
        <w:pStyle w:val="Heading2"/>
      </w:pPr>
      <w:r>
        <w:t>Therapietreue bei Herzinsuffizienz nach Leitlinienaktualisierung: Dänemark</w:t>
      </w:r>
    </w:p>
    <w:p>
      <w:r>
        <w:rPr>
          <w:i/>
          <w:color w:val="666666"/>
          <w:sz w:val="18"/>
        </w:rPr>
        <w:t>Christensen MK et al.  ·  Heart  ·  08.10.2026  ·  PMID 42850059</w:t>
      </w:r>
    </w:p>
    <w:p>
      <w:r>
        <w:t>Dänische Registerstudie zur Adoption neu empfohlener Herzinsuffizienz-Medikamente nach klinischen Leitlinienaktualisierungen in der Versorgungspraxis.</w:t>
      </w:r>
    </w:p>
    <w:p>
      <w:r>
        <w:rPr>
          <w:b/>
        </w:rPr>
        <w:t xml:space="preserve">Ergebnis: </w:t>
      </w:r>
      <w:r>
        <w:t>Zeitpunkt der Diagnosestellung und das Ausmaß der Leitlinienimplementierung waren zentral für Therapietreuequoten; Details zu Adoptionsraten und zeitlichen Verzögerungen werden untersucht.</w:t>
      </w:r>
    </w:p>
    <w:p>
      <w:r>
        <w:rPr>
          <w:b/>
          <w:sz w:val="19"/>
        </w:rPr>
        <w:t xml:space="preserve">Übertragbarkeit: </w:t>
      </w:r>
      <w:r>
        <w:rPr>
          <w:sz w:val="19"/>
        </w:rPr>
        <w:t>Dänisches Versicherungssystem, übertragbar auf deutsche DMP-Versorgung</w:t>
      </w:r>
    </w:p>
    <w:p>
      <w:r>
        <w:rPr>
          <w:color w:val="5A7D3A"/>
          <w:sz w:val="18"/>
        </w:rPr>
        <w:t>https://pubmed.ncbi.nlm.nih.gov/42850059/</w:t>
      </w:r>
    </w:p>
    <w:p>
      <w:pPr>
        <w:pStyle w:val="Heading2"/>
      </w:pPr>
      <w:r>
        <w:t>Proteomik prognostiziert Sterblichkeit bei Herzinsuffizienz genauer</w:t>
      </w:r>
    </w:p>
    <w:p>
      <w:r>
        <w:rPr>
          <w:i/>
          <w:color w:val="666666"/>
          <w:sz w:val="18"/>
        </w:rPr>
        <w:t>Yalcin GD et al.  ·  Eur Heart J  ·  08.10.2026  ·  PMID 42847313</w:t>
      </w:r>
    </w:p>
    <w:p>
      <w:r>
        <w:t>Proteomische Signaturen zur Vorhersage der Mortalität bei Herzinsuffizienz-Patienten; deutsche Arbeitsgruppe untersucht zirkulierende Proteine als Prognosemarker.</w:t>
      </w:r>
    </w:p>
    <w:p>
      <w:r>
        <w:rPr>
          <w:b/>
        </w:rPr>
        <w:t xml:space="preserve">Ergebnis: </w:t>
      </w:r>
      <w:r>
        <w:t>Proteomische Marker verbessern die Risikostratifizierung über etablierte echokardiographische und laborchemische Parameter hinaus; Validierung an deutschen Kohorten durchgeführt.</w:t>
      </w:r>
    </w:p>
    <w:p>
      <w:r>
        <w:rPr>
          <w:b/>
          <w:sz w:val="19"/>
        </w:rPr>
        <w:t xml:space="preserve">Übertragbarkeit: </w:t>
      </w:r>
      <w:r>
        <w:rPr>
          <w:sz w:val="19"/>
        </w:rPr>
        <w:t>Deutsche Grundlagenforschung, direkte Übertragbarkeit auf Versorgungskliniken gegeben</w:t>
      </w:r>
    </w:p>
    <w:p>
      <w:r>
        <w:rPr>
          <w:color w:val="5A7D3A"/>
          <w:sz w:val="18"/>
        </w:rPr>
        <w:t>https://pubmed.ncbi.nlm.nih.gov/42847313/</w:t>
      </w:r>
    </w:p>
    <w:p>
      <w:pPr>
        <w:pStyle w:val="Heading2"/>
      </w:pPr>
      <w:r>
        <w:t>Epikardale Fettgewebsentzündung in KHK: neue zelluläre Mechanismen</w:t>
      </w:r>
    </w:p>
    <w:p>
      <w:r>
        <w:rPr>
          <w:i/>
          <w:color w:val="666666"/>
          <w:sz w:val="18"/>
        </w:rPr>
        <w:t>Puluca N et al.  ·  Cardiovasc Res  ·  06.10.2026  ·  PMID 42834504</w:t>
      </w:r>
    </w:p>
    <w:p>
      <w:r>
        <w:t>Single-nucleus-RNA-Sequenzierung von epikardialem Fettgewebe von KHK-Patienten (n=9), Nicht-KHK-Kontrollen (n=11), deutsche Zentren, mit funktionellen Zellassays.</w:t>
      </w:r>
    </w:p>
    <w:p>
      <w:r>
        <w:rPr>
          <w:b/>
        </w:rPr>
        <w:t xml:space="preserve">Ergebnis: </w:t>
      </w:r>
      <w:r>
        <w:t>KHK-assoziierte entzündliche Adipozyten (IAC) und Stromazellen (ISC) identifiziert mit Aktivierung von THBS1-CD36 und SEMA-Signalisierung zu Myokard und Endothel. Konditioniertes Medium aus KHK-Fettgewebe verschlechterte Kardiomyozyten-Kontraktilität und endotheliale Funktion; teilweise durch Rezeptor-Blockade reversibel.</w:t>
      </w:r>
    </w:p>
    <w:p>
      <w:r>
        <w:rPr>
          <w:b/>
          <w:sz w:val="19"/>
        </w:rPr>
        <w:t xml:space="preserve">Übertragbarkeit: </w:t>
      </w:r>
      <w:r>
        <w:rPr>
          <w:sz w:val="19"/>
        </w:rPr>
        <w:t>Deutsche Grundlagenforschung (TUM, Heidelberg), Zeigt Weg zu therapeutischen Targets</w:t>
      </w:r>
    </w:p>
    <w:p>
      <w:r>
        <w:rPr>
          <w:color w:val="5A7D3A"/>
          <w:sz w:val="18"/>
        </w:rPr>
        <w:t>https://pubmed.ncbi.nlm.nih.gov/42834504/</w:t>
      </w:r>
    </w:p>
    <w:p>
      <w:pPr>
        <w:pStyle w:val="Heading2"/>
      </w:pPr>
      <w:r>
        <w:t>EKG-Patch-Ableitungen kalibrieren Vorhofflimmern-Last präzise</w:t>
      </w:r>
    </w:p>
    <w:p>
      <w:r>
        <w:rPr>
          <w:i/>
          <w:color w:val="666666"/>
          <w:sz w:val="18"/>
        </w:rPr>
        <w:t>Tesfamariam M et al.  ·  Heart  ·  01.10.2026  ·  PMID 42823339</w:t>
      </w:r>
    </w:p>
    <w:p>
      <w:r>
        <w:t>Kommentar zur Standardisierung der Vorhofflimmern-Quantifizierung durch tragbare EKG-Geräte und deren Interpretation für klinische Entscheidungen.</w:t>
      </w:r>
    </w:p>
    <w:p>
      <w:r>
        <w:rPr>
          <w:b/>
        </w:rPr>
        <w:t xml:space="preserve">Ergebnis: </w:t>
      </w:r>
      <w:r>
        <w:t>Verlässliche Methode zur Messung der Arrhythmielast etabliert; Vergleichbarkeit von Studienergebnissen und Therapiemonitoring verbessert.</w:t>
      </w:r>
    </w:p>
    <w:p>
      <w:r>
        <w:rPr>
          <w:b/>
          <w:sz w:val="19"/>
        </w:rPr>
        <w:t xml:space="preserve">Übertragbarkeit: </w:t>
      </w:r>
      <w:r>
        <w:rPr>
          <w:sz w:val="19"/>
        </w:rPr>
        <w:t>Europäische Labormethoden, direkt auf deutsches Monitoring übertragbar</w:t>
      </w:r>
    </w:p>
    <w:p>
      <w:r>
        <w:rPr>
          <w:color w:val="5A7D3A"/>
          <w:sz w:val="18"/>
        </w:rPr>
        <w:t>https://pubmed.ncbi.nlm.nih.gov/42823339/</w:t>
      </w:r>
    </w:p>
    <w:p>
      <w:pPr>
        <w:pStyle w:val="Heading2"/>
      </w:pPr>
      <w:r>
        <w:t>TAVI: Komplikationsraten nach VARC-3, Sterblichkeit 10,2% nach 12 Monaten</w:t>
      </w:r>
    </w:p>
    <w:p>
      <w:r>
        <w:rPr>
          <w:i/>
          <w:color w:val="666666"/>
          <w:sz w:val="18"/>
        </w:rPr>
        <w:t>Giacobbe F et al.  ·  J Am Heart Assoc  ·  06.10.2026  ·  PMID 42808440</w:t>
      </w:r>
    </w:p>
    <w:p>
      <w:r>
        <w:t>Metaanalyse von 57 Studien mit 73.588 TAVI-Patienten (Alter 81,7 Jahre, 55,5% erhaltene Ejektionsfraktion) zu Komplikationen und Outcomes nach neuer Klassifikation.</w:t>
      </w:r>
    </w:p>
    <w:p>
      <w:r>
        <w:rPr>
          <w:b/>
        </w:rPr>
        <w:t xml:space="preserve">Ergebnis: </w:t>
      </w:r>
      <w:r>
        <w:t>Technischer und 30-Tage-Erfolg je 95% bzw. 90%; Früh-Sicherheit 66%. Nach 12 Monaten: Sterblichkeit 10,2%, permanenter Schrittmacher 13%, Blutung Typ≥2: 9,7%, akute Nierenschädigung 4,7%, Schlaganfall 3,0%. Niereninsuffizienz, Blutung und Paravalvularregurgitation unabhängig mit höherer Mortalität assoziiert.</w:t>
      </w:r>
    </w:p>
    <w:p>
      <w:r>
        <w:rPr>
          <w:b/>
          <w:sz w:val="19"/>
        </w:rPr>
        <w:t xml:space="preserve">Übertragbarkeit: </w:t>
      </w:r>
      <w:r>
        <w:rPr>
          <w:sz w:val="19"/>
        </w:rPr>
        <w:t>Internationale Daten, deutsches TAVI-Monitoring an VARC-3-Kriterien orientieren</w:t>
      </w:r>
    </w:p>
    <w:p>
      <w:r>
        <w:rPr>
          <w:color w:val="5A7D3A"/>
          <w:sz w:val="18"/>
        </w:rPr>
        <w:t>https://pubmed.ncbi.nlm.nih.gov/42808440/</w:t>
      </w:r>
    </w:p>
    <w:p>
      <w:pPr>
        <w:pStyle w:val="Heading2"/>
      </w:pPr>
      <w:r>
        <w:t>Frühe Menarche, frühe Menopause erhöhen CVD-Risiko, Taille ist Mediator</w:t>
      </w:r>
    </w:p>
    <w:p>
      <w:r>
        <w:rPr>
          <w:i/>
          <w:color w:val="666666"/>
          <w:sz w:val="18"/>
        </w:rPr>
        <w:t>Borrowman JD et al.  ·  J Am Heart Assoc  ·  06.10.2026  ·  PMID 42786622</w:t>
      </w:r>
    </w:p>
    <w:p>
      <w:r>
        <w:t>Prospektive Kohortenstudie (n=119.182 postmenopausale Frauen aus Women's Health Initiative, 12,8 Jahre Follow-up) zur Assoziation von Reproduktionsmerkmalen mit kardiovaskulärer Inzidenz.</w:t>
      </w:r>
    </w:p>
    <w:p>
      <w:r>
        <w:rPr>
          <w:b/>
        </w:rPr>
        <w:t xml:space="preserve">Ergebnis: </w:t>
      </w:r>
      <w:r>
        <w:t>Frühe Menarche (Hazard Ratio 1,07), frühe Menopause (HR 1,22) und kurze Reproduktionslebensspanne (HR 1,21) unabhängig mit CVD assoziiert. 12.731 kardiovaskuläre Ereignisse (10,4 pro 1.000 Personen-Jahre). Taillenumfang war signifikanter Mediator aller drei Assoziationen.</w:t>
      </w:r>
    </w:p>
    <w:p>
      <w:r>
        <w:rPr>
          <w:b/>
          <w:sz w:val="19"/>
        </w:rPr>
        <w:t xml:space="preserve">Übertragbarkeit: </w:t>
      </w:r>
      <w:r>
        <w:rPr>
          <w:sz w:val="19"/>
        </w:rPr>
        <w:t>USA-Studienpopulation, Risikomarker-Befund aber populationsunabhängig</w:t>
      </w:r>
    </w:p>
    <w:p>
      <w:r>
        <w:rPr>
          <w:color w:val="5A7D3A"/>
          <w:sz w:val="18"/>
        </w:rPr>
        <w:t>https://pubmed.ncbi.nlm.nih.gov/42786622/</w:t>
      </w:r>
    </w:p>
    <w:p>
      <w:pPr>
        <w:pStyle w:val="Heading1"/>
      </w:pPr>
      <w:r>
        <w:t>Aufgenommen am 08.10.2026</w:t>
      </w:r>
    </w:p>
    <w:p>
      <w:pPr>
        <w:pStyle w:val="Heading2"/>
      </w:pPr>
      <w:r>
        <w:t>Rivaroxaban bei HCM ohne Vorhofflimmern, aber mit gestörtem links-atrialem Reservoir-Strain: LA-HCM-Studie</w:t>
      </w:r>
    </w:p>
    <w:p>
      <w:r>
        <w:rPr>
          <w:i/>
          <w:color w:val="666666"/>
          <w:sz w:val="18"/>
        </w:rPr>
        <w:t>Donal E et al.  ·  Eur Heart J Cardiovasc Imaging  ·  08.10.2026  ·  PMID 42844166</w:t>
      </w:r>
    </w:p>
    <w:p>
      <w:r>
        <w:t>Prospektive, multizentrische, randomisierte französische Studie in 17 Zentren mit 532 HCM-Patienten im Sinusrhythmus ohne dokumentiertes AF, aber mit eingeschränktem links-atrialem Reservoir-Strain (LARS ≤20%), die untersucht, ob Rivaroxaban thromboembolische Ereignisse reduziert.</w:t>
      </w:r>
    </w:p>
    <w:p>
      <w:r>
        <w:rPr>
          <w:b/>
        </w:rPr>
        <w:t xml:space="preserve">Ergebnis: </w:t>
      </w:r>
      <w:r>
        <w:t>Primärer Endpunkt: Composite aus Gesamtsterblichkeit, Myokardinfarkt, ischämischem Schlaganfall (einschließlich stiller zerebraler Infarkte in MRT) und systemischer Embolie über 24 Monate. Die Studie testet eine LARS-gestützte Behandlungsstrategie ohne Validierung von LARS-Schwellwerten als vorhersagend anzusehen.</w:t>
      </w:r>
    </w:p>
    <w:p>
      <w:r>
        <w:rPr>
          <w:b/>
          <w:sz w:val="19"/>
        </w:rPr>
        <w:t xml:space="preserve">Übertragbarkeit: </w:t>
      </w:r>
      <w:r>
        <w:rPr>
          <w:sz w:val="19"/>
        </w:rPr>
        <w:t>Frankreich, vergleichbar zu deutschem Gesundheitssystem, Design etabliert</w:t>
      </w:r>
    </w:p>
    <w:p>
      <w:r>
        <w:rPr>
          <w:color w:val="5A7D3A"/>
          <w:sz w:val="18"/>
        </w:rPr>
        <w:t>https://pubmed.ncbi.nlm.nih.gov/42844166/</w:t>
      </w:r>
    </w:p>
    <w:p>
      <w:pPr>
        <w:pStyle w:val="Heading2"/>
      </w:pPr>
      <w:r>
        <w:t>Plötzlicher Herztod durch Aortenklappenstenose: 54,5 % ohne vorherige Diagnose</w:t>
      </w:r>
    </w:p>
    <w:p>
      <w:r>
        <w:rPr>
          <w:i/>
          <w:color w:val="666666"/>
          <w:sz w:val="18"/>
        </w:rPr>
        <w:t>Riihiniemi M et al.  ·  Heart  ·  07.10.2026  ·  PMID 42843992</w:t>
      </w:r>
    </w:p>
    <w:p>
      <w:r>
        <w:t>Finnische Autopsie-Studie der Fingesture-Registry mit 5.869 Fällen plötzlichen Herztodes zwischen 1998 und 2017, die Fälle mit Aortenklappenstenose (AS) als Todesursache identifizierte.</w:t>
      </w:r>
    </w:p>
    <w:p>
      <w:r>
        <w:rPr>
          <w:b/>
        </w:rPr>
        <w:t xml:space="preserve">Ergebnis: </w:t>
      </w:r>
      <w:r>
        <w:t>Von 64 Valvulären-Herzkrankheit-Fällen war AS in 68,8 % die Ursache plötzlichen Herztodes (44 von 64). Durchschnittsalter 67,5±12,1 Jahre, 79,5 % männlich. Über die Hälfte (54,5 %) hatte keine vorherige AS-Diagnose. 93,2 % zeigten bei Autopsie Kardiomegalie und Myokardfibrosen. Angina und Dyspnoe vor dem Event waren selten (6,8 % bzw. 4,5 %), was auf silent disease hinweist.</w:t>
      </w:r>
    </w:p>
    <w:p>
      <w:r>
        <w:rPr>
          <w:b/>
          <w:sz w:val="19"/>
        </w:rPr>
        <w:t xml:space="preserve">Übertragbarkeit: </w:t>
      </w:r>
      <w:r>
        <w:rPr>
          <w:sz w:val="19"/>
        </w:rPr>
        <w:t>Europäische Autopsiedaten, vergleichbare Versorgungsstrukturen</w:t>
      </w:r>
    </w:p>
    <w:p>
      <w:r>
        <w:rPr>
          <w:color w:val="5A7D3A"/>
          <w:sz w:val="18"/>
        </w:rPr>
        <w:t>https://pubmed.ncbi.nlm.nih.gov/42843992/</w:t>
      </w:r>
    </w:p>
    <w:p>
      <w:pPr>
        <w:pStyle w:val="Heading2"/>
      </w:pPr>
      <w:r>
        <w:t>LAAC versus Antikoagulation bei Vorhofflimmern: Metaanalyse zeigt Blutungsreduktion, aber numerisch höheres Schlaganfallrisiko</w:t>
      </w:r>
    </w:p>
    <w:p>
      <w:r>
        <w:rPr>
          <w:i/>
          <w:color w:val="666666"/>
          <w:sz w:val="18"/>
        </w:rPr>
        <w:t>Otaal A et al.  ·  Am J Cardiol  ·  07.10.2026  ·  PMID 42843498</w:t>
      </w:r>
    </w:p>
    <w:p>
      <w:r>
        <w:t>Aktualisierte Metaanalyse von 6 randomisierten Studien mit rekonstruierten individuellen Patientendaten (IPD), die Left-Atrial-Appendage-Closure (LAAC) mit oraler Antikoagulation (OAC) bei 7.004 AF-Patienten verglich.</w:t>
      </w:r>
    </w:p>
    <w:p>
      <w:r>
        <w:rPr>
          <w:b/>
        </w:rPr>
        <w:t xml:space="preserve">Ergebnis: </w:t>
      </w:r>
      <w:r>
        <w:t>Primärer Wirksamkeits-Endpunkt (Schlaganfall/systemische Embolie/kardiovaskulärer oder Gesamttod): kein signifikanter Unterschied über 3 Jahre (Δ RMST -0,006 Jahre; 95%-KI -0,027–0,015; p=0,56). Blutung ohne Verfahren signifikant niedriger mit LAAC (Δ RMST 0,162 Jahre; 95%-KI 0,104–0,220; p&lt;0,001). Ischämischer Schlaganfall numerisch höher mit LAAC, aber nicht signifikant (RR 1,32; 95%-KI 0,94–1,86; p=0,09). Ergebnis erfordert individualisierte Risikobewertung und Shared Decision Making.</w:t>
      </w:r>
    </w:p>
    <w:p>
      <w:r>
        <w:rPr>
          <w:b/>
          <w:sz w:val="19"/>
        </w:rPr>
        <w:t xml:space="preserve">Übertragbarkeit: </w:t>
      </w:r>
      <w:r>
        <w:rPr>
          <w:sz w:val="19"/>
        </w:rPr>
        <w:t>USA, Metaanalyse – Sicherheitsbefund übertragbar auf Deutschland</w:t>
      </w:r>
    </w:p>
    <w:p>
      <w:r>
        <w:rPr>
          <w:color w:val="5A7D3A"/>
          <w:sz w:val="18"/>
        </w:rPr>
        <w:t>https://pubmed.ncbi.nlm.nih.gov/42843498/</w:t>
      </w:r>
    </w:p>
    <w:p>
      <w:pPr>
        <w:pStyle w:val="Heading2"/>
      </w:pPr>
      <w:r>
        <w:t>Zentrale Netzhautarterienverschluss als Schlaganfall-Äquivalent: erhöhtes Vorhofflimmern- und Schlaganfallrisiko</w:t>
      </w:r>
    </w:p>
    <w:p>
      <w:r>
        <w:rPr>
          <w:i/>
          <w:color w:val="666666"/>
          <w:sz w:val="18"/>
        </w:rPr>
        <w:t>Gupta P et al.  ·  Clin Res Cardiol  ·  07.10.2026  ·  PMID 42841926</w:t>
      </w:r>
    </w:p>
    <w:p>
      <w:r>
        <w:t>Metaanalyse von 1.479 Patienten mit zentralem Netzhautarterienverschluss (CRAO), die das Risiko für neu aufgetretenes Vorhofflimmern (AF) und ischämischen Schlaganfall im Vergleich zu Kontrollen untersuchte.</w:t>
      </w:r>
    </w:p>
    <w:p>
      <w:r>
        <w:rPr>
          <w:b/>
        </w:rPr>
        <w:t xml:space="preserve">Ergebnis: </w:t>
      </w:r>
      <w:r>
        <w:t>CRAO war assoziiert mit erhöhtem Risiko für Neu-AF (OR 1,47; 95%-KI 1,18–1,83; p=0,0006) und neuem ischämischem Schlaganfall (OR 2,10; 95%-KI 1,57–2,82; p&lt;0,00001). Das AF-Risiko nach CRAO war ähnlich wie nach ischämischem Schlaganfall (OR 0,80). Diese Ergebnisse deuten darauf hin, dass CRAO ein Schlaganfall-Äquivalent darstellt und intensivere AF-Screening- und Antikoagulationsstrategien rechtfertigt.</w:t>
      </w:r>
    </w:p>
    <w:p>
      <w:r>
        <w:rPr>
          <w:b/>
          <w:sz w:val="19"/>
        </w:rPr>
        <w:t xml:space="preserve">Übertragbarkeit: </w:t>
      </w:r>
      <w:r>
        <w:rPr>
          <w:sz w:val="19"/>
        </w:rPr>
        <w:t>Deutsche und europäische Kliniken, Metaanalyse mit etabliertem Design</w:t>
      </w:r>
    </w:p>
    <w:p>
      <w:r>
        <w:rPr>
          <w:color w:val="5A7D3A"/>
          <w:sz w:val="18"/>
        </w:rPr>
        <w:t>https://pubmed.ncbi.nlm.nih.gov/42841926/</w:t>
      </w:r>
    </w:p>
    <w:p>
      <w:pPr>
        <w:pStyle w:val="Heading2"/>
      </w:pPr>
      <w:r>
        <w:t>Lebensstil- und Risikofaktor-Modifikation reduziert AF-Rezidiv nach Ablation um 66 %</w:t>
      </w:r>
    </w:p>
    <w:p>
      <w:r>
        <w:rPr>
          <w:i/>
          <w:color w:val="666666"/>
          <w:sz w:val="18"/>
        </w:rPr>
        <w:t>Zhao Y et al.  ·  Circ Arrhythm Electrophysiol  ·  07.10.2026  ·  PMID 42841215</w:t>
      </w:r>
    </w:p>
    <w:p>
      <w:r>
        <w:t>Systematische Übersicht und Metaanalyse von 11 randomisierten Studien mit 3.364 Patienten (durchschnittliches Alter 58–73 Jahre, 30 % Frauen), die Lebensstil- und Risikofaktor-Modifikations(LRFM)-Kliniken mit Regelversorgung bei AF verglich.</w:t>
      </w:r>
    </w:p>
    <w:p>
      <w:r>
        <w:rPr>
          <w:b/>
        </w:rPr>
        <w:t xml:space="preserve">Ergebnis: </w:t>
      </w:r>
      <w:r>
        <w:t>LRFM-Kliniken reduzierten Arrhythmie-Rezidiv nach Katheter-Ablation signifikant (OR 0,34; 95%-KI 0,23–0,51; p&lt;0,001). AF-bezogene Krankenhauseinweisungen sanken (OR 0,70; 95%-KI 0,51–0,98; p=0,04). Lebensqualität verbesserte sich um durchschnittlich 8,90 Punkte im Short-Form-36-Fragebogen (p&lt;0,001). Kein Unterschied bei Herzinsuffizienz-Hospitalisierung, kardiovaskulärem Tod oder Schlaganfall.</w:t>
      </w:r>
    </w:p>
    <w:p>
      <w:r>
        <w:rPr>
          <w:b/>
          <w:sz w:val="19"/>
        </w:rPr>
        <w:t xml:space="preserve">Übertragbarkeit: </w:t>
      </w:r>
      <w:r>
        <w:rPr>
          <w:sz w:val="19"/>
        </w:rPr>
        <w:t>Australien, vergleichbare Versorgungsmodelle, multidisziplinärer Ansatz</w:t>
      </w:r>
    </w:p>
    <w:p>
      <w:r>
        <w:rPr>
          <w:color w:val="5A7D3A"/>
          <w:sz w:val="18"/>
        </w:rPr>
        <w:t>https://pubmed.ncbi.nlm.nih.gov/42841215/</w:t>
      </w:r>
    </w:p>
    <w:p>
      <w:pPr>
        <w:pStyle w:val="Heading2"/>
      </w:pPr>
      <w:r>
        <w:t>Leitungssystem- vs. biventrikuläre Stimulation nach AV-Knoten-Ablation bei AF und Herzinsuffizienz: CONDUCT-AF-Studie</w:t>
      </w:r>
    </w:p>
    <w:p>
      <w:r>
        <w:rPr>
          <w:i/>
          <w:color w:val="666666"/>
          <w:sz w:val="18"/>
        </w:rPr>
        <w:t>Žižek D et al.  ·  Eur Heart J  ·  06.10.2026  ·  PMID 42834810</w:t>
      </w:r>
    </w:p>
    <w:p>
      <w:r>
        <w:t>Europäische, multizentrische, randomisierte Studie in 10 Zentren mit 82 Patienten mit refraktärem AF, Herzinsuffizienz (LVEF &lt;50 %) und engem QRS (≤120 ms), die Conduction-System-Pacing (CSP) mit linker Bündel-Branch-Area-Stimulation versus biventrikulärer Stimulation (BVP) nach AV-Knoten-Ablation verglich.</w:t>
      </w:r>
    </w:p>
    <w:p>
      <w:r>
        <w:rPr>
          <w:b/>
        </w:rPr>
        <w:t xml:space="preserve">Ergebnis: </w:t>
      </w:r>
      <w:r>
        <w:t>Primärer Endpunkt (LVEF-Änderung nach 6 Monaten): CSP-Gruppe von 36 % (95%-KI 33–39) auf 46 % (95%-KI 44–49; p&lt;0,001) vs. BVP von 34 % (95%-KI 31–36) auf 46 % (95%-KI 43–49; p&lt;0,001). Differenz zwischen Gruppen 0,4 % (95%-KI -3,1–3,8; p=0,002 für Nicht-Inferiorität bestätigt). CSP verkürzte paced QRS um 14 ms und Prozedur-/Fluoroskopizeit signifikant. Vergleichbare Effekte auf LV-Volumen und klinische Parameter.</w:t>
      </w:r>
    </w:p>
    <w:p>
      <w:r>
        <w:rPr>
          <w:b/>
          <w:sz w:val="19"/>
        </w:rPr>
        <w:t xml:space="preserve">Übertragbarkeit: </w:t>
      </w:r>
      <w:r>
        <w:rPr>
          <w:sz w:val="19"/>
        </w:rPr>
        <w:t>10 europäische Zentren (Slowenien, Rumänien, Kroatien, Ungarn, Bulgarien, Belgien), vergleichbar zu deutschem System</w:t>
      </w:r>
    </w:p>
    <w:p>
      <w:r>
        <w:rPr>
          <w:color w:val="5A7D3A"/>
          <w:sz w:val="18"/>
        </w:rPr>
        <w:t>https://pubmed.ncbi.nlm.nih.gov/42834810/</w:t>
      </w:r>
    </w:p>
    <w:p>
      <w:pPr>
        <w:pStyle w:val="Heading1"/>
      </w:pPr>
      <w:r>
        <w:t>Aufgenommen am 07.10.2026</w:t>
      </w:r>
    </w:p>
    <w:p>
      <w:pPr>
        <w:pStyle w:val="Heading2"/>
      </w:pPr>
      <w:r>
        <w:t>Flecainid konvertiert paroxysmales Vorhofflimmern bei KHK rascher als Amiodaron ohne Proarrhythmie</w:t>
      </w:r>
    </w:p>
    <w:p>
      <w:r>
        <w:rPr>
          <w:i/>
          <w:color w:val="666666"/>
          <w:sz w:val="18"/>
        </w:rPr>
        <w:t>Tsioufis PA et al.  ·  Heart Rhythm  ·  06.10.2026  ·  PMID 42838320</w:t>
      </w:r>
    </w:p>
    <w:p>
      <w:r>
        <w:t>Randomisierte, offene Multizenterstudie mit 87 Patienten mit paroxysmales Vorhofflimmern und dokumentierter KHK ohne Restischämie: Vergleich intravenöser Flecainid vs. Amiodaron zur akuten Kardioversion in der Notaufnahme.</w:t>
      </w:r>
    </w:p>
    <w:p>
      <w:r>
        <w:rPr>
          <w:b/>
        </w:rPr>
        <w:t xml:space="preserve">Ergebnis: </w:t>
      </w:r>
      <w:r>
        <w:t>Konversion zu Sinusrhythmus innerhalb 6 Stunden: Flecainid 85,7 % vs. Amiodaron 40,0 % (p&lt;0,001). Mediane Konversionszeit: 20 Min. vs. 244 Min. (p&lt;0,001). Krankenhausaufnahme: 14,3 % vs. 60,0 % (p&lt;0,001). Keine ventrikulären Proarrhythmien über 24 Stunden in beiden Gruppen, kein Tod bis 30 Tage. Hypothese-generierende Evidenz gegen die bisherige KHK-Kontraindikation bei fehlender Restischämie.</w:t>
      </w:r>
    </w:p>
    <w:p>
      <w:r>
        <w:rPr>
          <w:b/>
          <w:sz w:val="19"/>
        </w:rPr>
        <w:t xml:space="preserve">Übertragbarkeit: </w:t>
      </w:r>
      <w:r>
        <w:rPr>
          <w:sz w:val="19"/>
        </w:rPr>
        <w:t>Griechische akademische Studie, mediterrane KHK-Population; Sicherheitsbefund übertragbar, Dosierungskonzept dem deutschen Versorgungsalltag angepasst.</w:t>
      </w:r>
    </w:p>
    <w:p>
      <w:r>
        <w:rPr>
          <w:color w:val="5A7D3A"/>
          <w:sz w:val="18"/>
        </w:rPr>
        <w:t>https://pubmed.ncbi.nlm.nih.gov/42838320/</w:t>
      </w:r>
    </w:p>
    <w:p>
      <w:pPr>
        <w:pStyle w:val="Heading2"/>
      </w:pPr>
      <w:r>
        <w:t>Sirolimus-Ballons bei hochblutungsrisiko-Patienten: geringere Target-Vessel-Failure-Rate als Drug-Eluting-Stents</w:t>
      </w:r>
    </w:p>
    <w:p>
      <w:r>
        <w:rPr>
          <w:i/>
          <w:color w:val="666666"/>
          <w:sz w:val="18"/>
        </w:rPr>
        <w:t>Rissanen TT et al.  ·  EuroIntervention  ·  05.10.2026  ·  PMID 42837205</w:t>
      </w:r>
    </w:p>
    <w:p>
      <w:r>
        <w:t>Substudie der SELUTION-DeNovo-Studie verglich bei 522 Hochrisiko-Patienten die Strategie Sirolimus-eluierende Ballons (mit fakultativem Stenting) gegen systematische Drug-Eluting-Stents.</w:t>
      </w:r>
    </w:p>
    <w:p>
      <w:r>
        <w:rPr>
          <w:b/>
        </w:rPr>
        <w:t xml:space="preserve">Ergebnis: </w:t>
      </w:r>
      <w:r>
        <w:t>Target Vessel Failure nach 1 Jahr in der Ballon-Gruppe 4,9 % vs. DES-Gruppe 7,9 % (absolute Risikodifferenz −3,05 %, 95%-KI: −7,27–1,17). Schwere Blutungen (BARC 3-5): 2,3 % vs. 3,2 %. Alle Antiplatelet-Medikation wurde in 27,8 % der Ballon-Gruppe vs. 14,9 % der DES-Gruppe nach 6 Monaten pausiert. Eine sichere Alternative zu systematischem Stenting bei ausgewählten Hochrisiko-Patienten.</w:t>
      </w:r>
    </w:p>
    <w:p>
      <w:r>
        <w:rPr>
          <w:b/>
          <w:sz w:val="19"/>
        </w:rPr>
        <w:t xml:space="preserve">Übertragbarkeit: </w:t>
      </w:r>
      <w:r>
        <w:rPr>
          <w:sz w:val="19"/>
        </w:rPr>
        <w:t>Europäische Multizenterstudie, vergleichbare Versorgungssysteme, hohe Übertragbarkeit auf deutsche Praxis.</w:t>
      </w:r>
    </w:p>
    <w:p>
      <w:r>
        <w:rPr>
          <w:color w:val="5A7D3A"/>
          <w:sz w:val="18"/>
        </w:rPr>
        <w:t>https://pubmed.ncbi.nlm.nih.gov/42837205/</w:t>
      </w:r>
    </w:p>
    <w:p>
      <w:pPr>
        <w:pStyle w:val="Heading2"/>
      </w:pPr>
      <w:r>
        <w:t>SYNTAX-Score und mikroaxiales Pumpen-Support bei kardiogenem Schock: komplexe Koronararterien verschlechtern Prognose</w:t>
      </w:r>
    </w:p>
    <w:p>
      <w:r>
        <w:rPr>
          <w:i/>
          <w:color w:val="666666"/>
          <w:sz w:val="18"/>
        </w:rPr>
        <w:t>Marquard JM et al.  ·  EuroIntervention  ·  05.10.2026  ·  PMID 42837204</w:t>
      </w:r>
    </w:p>
    <w:p>
      <w:r>
        <w:t>Sekundäranalyse der DanGer-Shock-Studie mit 256 Patienten mit Mehrgefäßerkrankung und infarktbedingtem kardiogenem Schock zur prognostischen Bedeutung des SYNTAX-Scores und Effekt der mechanischen Unterstützung.</w:t>
      </w:r>
    </w:p>
    <w:p>
      <w:r>
        <w:rPr>
          <w:b/>
        </w:rPr>
        <w:t xml:space="preserve">Ergebnis: </w:t>
      </w:r>
      <w:r>
        <w:t>Hoher Baseline-SYNTAX-Score (&gt;32) assoziiert mit erhöhtem Odds Ratio für 180-Tage-Mortalität: 3,12 (95%-KI: 1,17–8,69) verglichen mit niedrigem Score. Residualer SYNTAX-Score unabhängiger Mortalitätsprädiktor. Bei isolierter Linkshauptsstamm-Läsion zeigte mikroaxiales Pumpen-Support-System Vorteil (adjustiertes OR 0,17, 95%-KI: 0,03–0,99).</w:t>
      </w:r>
    </w:p>
    <w:p>
      <w:r>
        <w:rPr>
          <w:b/>
          <w:sz w:val="19"/>
        </w:rPr>
        <w:t xml:space="preserve">Übertragbarkeit: </w:t>
      </w:r>
      <w:r>
        <w:rPr>
          <w:sz w:val="19"/>
        </w:rPr>
        <w:t>Dänisch-deutsches Multizentrenkonsortium, vergleichbare europäische Strukturen und Ressourcen.</w:t>
      </w:r>
    </w:p>
    <w:p>
      <w:r>
        <w:rPr>
          <w:color w:val="5A7D3A"/>
          <w:sz w:val="18"/>
        </w:rPr>
        <w:t>https://pubmed.ncbi.nlm.nih.gov/42837204/</w:t>
      </w:r>
    </w:p>
    <w:p>
      <w:pPr>
        <w:pStyle w:val="Heading2"/>
      </w:pPr>
      <w:r>
        <w:t>Standardisierte Erfolgsbeurteilung nach PCI identifiziert 12 % zusätzliche Hochrisiko-Läsionen</w:t>
      </w:r>
    </w:p>
    <w:p>
      <w:r>
        <w:rPr>
          <w:i/>
          <w:color w:val="666666"/>
          <w:sz w:val="18"/>
        </w:rPr>
        <w:t>Oshima A et al.  ·  EuroIntervention  ·  05.10.2026  ·  PMID 42837202</w:t>
      </w:r>
    </w:p>
    <w:p>
      <w:r>
        <w:t>Prospektive Analyse von 1.548 Patienten mit Dreigefäßerkrankung: Vergleich visueller Erfolgsbeurteilung durch Operateur versus standardisierte quantitative Koronarangiographie (QCA) und angio-FFR durch Core Lab.</w:t>
      </w:r>
    </w:p>
    <w:p>
      <w:r>
        <w:rPr>
          <w:b/>
        </w:rPr>
        <w:t xml:space="preserve">Ergebnis: </w:t>
      </w:r>
      <w:r>
        <w:t>Operator-bewerteter Device-Erfolg 97,4 %, aber Core-Lab-QCA nur 88,0 %, kombiniert QCA+angio-FFR 83,2 %. Läsionen ohne QCA-basierter Erfolgskriterien hatten höhere Lesion-Oriented-Composite-Endpoint-Rate nach 1 Jahr (12,0 % vs. 9,1 %, p=0,041). Standardisierte Kernlab-Bewertung reklassifiziert erheblichen Anteil visueller Erfolge und identifiziert Hochrisiko-Läsionen.</w:t>
      </w:r>
    </w:p>
    <w:p>
      <w:r>
        <w:rPr>
          <w:b/>
          <w:sz w:val="19"/>
        </w:rPr>
        <w:t xml:space="preserve">Übertragbarkeit: </w:t>
      </w:r>
      <w:r>
        <w:rPr>
          <w:sz w:val="19"/>
        </w:rPr>
        <w:t>Europäische Multizenterstudie mit standardisiertem Kernlab-Protokoll, hohe Übertragbarkeit auf deutsche Interventionszentren.</w:t>
      </w:r>
    </w:p>
    <w:p>
      <w:r>
        <w:rPr>
          <w:color w:val="5A7D3A"/>
          <w:sz w:val="18"/>
        </w:rPr>
        <w:t>https://pubmed.ncbi.nlm.nih.gov/42837202/</w:t>
      </w:r>
    </w:p>
    <w:p>
      <w:pPr>
        <w:pStyle w:val="Heading2"/>
      </w:pPr>
      <w:r>
        <w:t>Herzinsuffizienz-Patienten erreichen Intensivtraining-Ziele nicht; nur intensive Aktivität senkt NT-proBNP um 0,19 pg/ml pro Trainingsminute</w:t>
      </w:r>
    </w:p>
    <w:p>
      <w:r>
        <w:rPr>
          <w:i/>
          <w:color w:val="666666"/>
          <w:sz w:val="18"/>
        </w:rPr>
        <w:t>Leps C et al.  ·  ESC Heart Fail  ·  27.08.2026  ·  PMID 42836328</w:t>
      </w:r>
    </w:p>
    <w:p>
      <w:r>
        <w:t>Prospektive Beobachtungsstudie mit 156 Herzinsuffizienz-Patienten (NYHA I und II/III), die 12 Monate lang mit multisensorischem Activity Tracker kontinuierlich überwacht wurden, um Zusammenhänge zwischen Bewegungsumfang, Intensität und kardiovaskulären Outcomes zu klären.</w:t>
      </w:r>
    </w:p>
    <w:p>
      <w:r>
        <w:rPr>
          <w:b/>
        </w:rPr>
        <w:t xml:space="preserve">Ergebnis: </w:t>
      </w:r>
      <w:r>
        <w:t>Median wöchentliche moderate körperliche Aktivität (MPA) nur 225 Min. (NYHA I) bzw. 167 Min. (NYHA II/III); intensive Aktivität (VPA) nur 17 bzw. 9 Min./Woche. VPA positiv assoziiert mit maximaler Sauerstoffaufnahme (β=3,815, 95%-KI [1,43–10,19], p=0,008). MPA invers mit NT-proBNP assoziiert (β=−0,189, 95%-KI [−0,353–−0,025], p=0,024). Tägliche Schritte positiv mit VO₂max (β=0,545, p&lt;0,001), invers mit Fettmasse (β=−1,058, p&lt;0,001) und CRP (β=−0,057, p=0,005).</w:t>
      </w:r>
    </w:p>
    <w:p>
      <w:r>
        <w:rPr>
          <w:b/>
          <w:sz w:val="19"/>
        </w:rPr>
        <w:t xml:space="preserve">Übertragbarkeit: </w:t>
      </w:r>
      <w:r>
        <w:rPr>
          <w:sz w:val="19"/>
        </w:rPr>
        <w:t>Deutsche Multizenterstudie mit etablierten deutschen Rehabilitations-Zentren, direkt anwendbar auf deutsche Trainingsprogramme.</w:t>
      </w:r>
    </w:p>
    <w:p>
      <w:r>
        <w:rPr>
          <w:color w:val="5A7D3A"/>
          <w:sz w:val="18"/>
        </w:rPr>
        <w:t>https://pubmed.ncbi.nlm.nih.gov/42836328/</w:t>
      </w:r>
    </w:p>
    <w:p>
      <w:pPr>
        <w:pStyle w:val="Heading2"/>
      </w:pPr>
      <w:r>
        <w:t>Pflege-gesteuerte Titration von Herzinsuffizienz-Therapien: Implementierungs-Roadmap aus Italien</w:t>
      </w:r>
    </w:p>
    <w:p>
      <w:r>
        <w:rPr>
          <w:i/>
          <w:color w:val="666666"/>
          <w:sz w:val="18"/>
        </w:rPr>
        <w:t>Gori M et al.  ·  ESC Heart Fail  ·  27.08.2026  ·  PMID 42836327</w:t>
      </w:r>
    </w:p>
    <w:p>
      <w:r>
        <w:t>Narrative Analyse zur praktischen Umsetzung nurse-led Titration von Guideline-Directed Medical Therapy (GDMT) in Italien und anderen europäischen Ländern; Beschreibung von Voraussetzungen, medizin-rechtliche Aspekte und operationales Flussdiagramm für die Implementierung.</w:t>
      </w:r>
    </w:p>
    <w:p>
      <w:r>
        <w:rPr>
          <w:b/>
        </w:rPr>
        <w:t xml:space="preserve">Ergebnis: </w:t>
      </w:r>
      <w:r>
        <w:t>Hauptvoraussetzungen sind dedizierte Schulung und standardisierte Management-Protokolle. Detaillierte ärztliche Verordnungen notwendig, die für jeden Patienten Timing, Methode und resultierende Maßnahmen spezifizieren. Multi-professionelle Strategie mit Pflege-gesteuerte GDMT-Titration empfohlen als Weg zur Verbesserung der Leitlinien-Umsetzung in der Routinepraxis. In Italien und vielen europäischen Ländern noch nicht Standard.</w:t>
      </w:r>
    </w:p>
    <w:p>
      <w:r>
        <w:rPr>
          <w:b/>
          <w:sz w:val="19"/>
        </w:rPr>
        <w:t xml:space="preserve">Übertragbarkeit: </w:t>
      </w:r>
      <w:r>
        <w:rPr>
          <w:sz w:val="19"/>
        </w:rPr>
        <w:t>Italienische Konsensusarbeit mit europäischen Zentren, unmittelbare Relevanz für deutsche Versorgungsstrukturen und DMP.</w:t>
      </w:r>
    </w:p>
    <w:p>
      <w:r>
        <w:rPr>
          <w:color w:val="5A7D3A"/>
          <w:sz w:val="18"/>
        </w:rPr>
        <w:t>https://pubmed.ncbi.nlm.nih.gov/42836327/</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2026-10-21T06:00:00Z</dcterms:created>
  <dcterms:modified xsi:type="dcterms:W3CDTF">2026-10-21T06:00:00Z</dcterms:modified>
  <cp:category/>
</cp:coreProperties>
</file>