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13.09.2026  |  7 Studien  |  kardio.m-vf.de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P2Y₁₂-Hemmer vor Angiografie: Weniger STEMI, aber auch weniger Blutungen bei längeren Wartezeiten</w:t>
      </w:r>
    </w:p>
    <w:p>
      <w:r>
        <w:rPr>
          <w:i/>
          <w:color w:val="666666"/>
          <w:sz w:val="18"/>
        </w:rPr>
        <w:t>Hesse K et al.  ·  Open Heart  ·  12.09.2026  ·  PMID 42731862</w:t>
      </w:r>
    </w:p>
    <w:p>
      <w:r>
        <w:t>Vergleich zweier Strategien bei NSTE-ACS: Routinemäßige Gabe eines P2Y₁₂-Hemmers vor Herzkatheter versus Zurückhaltung bis zur Anatomiekenntnis im britischen Versorgungssystem mit längeren Wartezeiten (Median 3,6 Tage).</w:t>
      </w:r>
    </w:p>
    <w:p>
      <w:r>
        <w:rPr>
          <w:b/>
        </w:rPr>
        <w:t xml:space="preserve">Ergebnis: </w:t>
      </w:r>
      <w:r>
        <w:t>Bei Verzicht auf Vorbehandlung: In-hospital-STEMI stieg von 0,4% auf 1,7% (adjustierte OR 4,40; 95%-KI 1,78–13,3), aber actionable Blutungsereignisse sanken von 0,9% auf 0,2% (adjustierte OR 0,18; 95%-KI 0,03–0,70). Längere Wartezeiten verändern das Nutzen-Risiko-Verhältnis gegenüber den Leitlinien, die auf kürzeren Katheterwartezeiten basieren.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 mit wesentlich längeren Wartezeiten als in Deutschland üblich.</w:t>
      </w:r>
    </w:p>
    <w:p>
      <w:r>
        <w:rPr>
          <w:color w:val="5A7D3A"/>
          <w:sz w:val="18"/>
        </w:rPr>
        <w:t>https://pubmed.ncbi.nlm.nih.gov/42731862/</w:t>
      </w:r>
    </w:p>
    <w:p>
      <w:pPr>
        <w:pStyle w:val="Heading2"/>
      </w:pPr>
      <w:r>
        <w:t>HFpEF-Risikoscores für Primärversorgung in HIV-Hochprävalenzregion anwendbar</w:t>
      </w:r>
    </w:p>
    <w:p>
      <w:r>
        <w:rPr>
          <w:i/>
          <w:color w:val="666666"/>
          <w:sz w:val="18"/>
        </w:rPr>
        <w:t>Honwana F et al.  ·  Open Heart  ·  12.09.2026  ·  PMID 42731860</w:t>
      </w:r>
    </w:p>
    <w:p>
      <w:r>
        <w:t>Entwicklung und interne Validierung eines nomogramm-basierten HFpEF-Vorhersage-Scores für die Primärversorgung in Südafrika unter Berücksichtigung HIV-Status, klinischer Faktoren, BNP und EKG.</w:t>
      </w:r>
    </w:p>
    <w:p>
      <w:r>
        <w:rPr>
          <w:b/>
        </w:rPr>
        <w:t xml:space="preserve">Ergebnis: </w:t>
      </w:r>
      <w:r>
        <w:t>Nomogramm mit Alter, Geschlecht, HIV-Status, Rauchen, Hypertonie, BMI und BNP: Overfitting-korrigierte AUC 0,77 mit guter Kalibrierung. Von 1.508 Teilnehmern (77% Frauen, 42% adipös) erfüllten 7,8% HFpEF-Kriterien (118 Patienten; 8,4% bei HIV-positiv, 6,6% HIV-negativ).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Südafrika; Score als praktisches Werkzeug für ressourcenlimitierte Primärsettings adaptierbar.</w:t>
      </w:r>
    </w:p>
    <w:p>
      <w:r>
        <w:rPr>
          <w:color w:val="5A7D3A"/>
          <w:sz w:val="18"/>
        </w:rPr>
        <w:t>https://pubmed.ncbi.nlm.nih.gov/42731860/</w:t>
      </w:r>
    </w:p>
    <w:p>
      <w:pPr>
        <w:pStyle w:val="Heading2"/>
      </w:pPr>
      <w:r>
        <w:t>Ultraschnelle ambulante TAVI bei akutem aortalen Klappensyndrom spart Krankenhausbetten</w:t>
      </w:r>
    </w:p>
    <w:p>
      <w:r>
        <w:rPr>
          <w:i/>
          <w:color w:val="666666"/>
          <w:sz w:val="18"/>
        </w:rPr>
        <w:t>Vibhishanan J et al.  ·  Open Heart  ·  12.09.2026  ·  PMID 42731859</w:t>
      </w:r>
    </w:p>
    <w:p>
      <w:r>
        <w:t>Evaluierung eines neuen Versorgungspfads für ausgewählte, stabilisierte Patienten mit akutem aortalen Stenose-Syndroms (AVS) und geplantem TAVI-Einsatz: ambulante Vorbereitung mit Entlassung nach initialem Assessment vs. stationärer Weg in einer britischen Universitätsklinik.</w:t>
      </w:r>
    </w:p>
    <w:p>
      <w:r>
        <w:rPr>
          <w:b/>
        </w:rPr>
        <w:t xml:space="preserve">Ergebnis: </w:t>
      </w:r>
      <w:r>
        <w:t>Von 105 für den ambulanten Weg evaluierten Patienten wurden 58 (55,2%) ambulant und 47 (44,8%) stationär behandelt. Ambulante Gruppe: mediane Gesamtkrankenhaus-Liegedauer 12 Tage (IQR 7–17) vs. stationär 20 Tage (IQR 15–32; p&lt;0,0001), Einsparung von 210 Bettentagen. Zeit von Zuweisung bis TAVI unterschied sich nicht (ambulant 15 vs. stationär 14 Tage; p=0,22). Primärer Sicherheitsendpunkt (Tod oder akute Dekompensation vor TAVI) war gleich (ambulant 6,9% vs. stationär 6,4%; HR 0,97; 95%-KI 0,22–4,34; p=0,97).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UK-Klinik; Konzept auf vergleichbare europäische Zentren übertragbar, bedarf Validierung.</w:t>
      </w:r>
    </w:p>
    <w:p>
      <w:r>
        <w:rPr>
          <w:color w:val="5A7D3A"/>
          <w:sz w:val="18"/>
        </w:rPr>
        <w:t>https://pubmed.ncbi.nlm.nih.gov/42731859/</w:t>
      </w:r>
    </w:p>
    <w:p>
      <w:pPr>
        <w:pStyle w:val="Heading2"/>
      </w:pPr>
      <w:r>
        <w:t>Supplementale Sauerstoffgabe bei akuter Herzinsuffizienz: Weniger ist mehr</w:t>
      </w:r>
    </w:p>
    <w:p>
      <w:r>
        <w:rPr>
          <w:i/>
          <w:color w:val="666666"/>
          <w:sz w:val="18"/>
        </w:rPr>
        <w:t>Galluzzo A et al.  ·  Eur Heart J Acute Cardiovasc Care  ·  08.09.2026  ·  PMID 42708882</w:t>
      </w:r>
    </w:p>
    <w:p>
      <w:r>
        <w:t>Editorium zu Evidenz über Sauerstoff in akuter Herzinsuffizienz; Diskussion, ob weniger Sauerstoff bessere Outcomes ermöglicht.</w:t>
      </w:r>
    </w:p>
    <w:p>
      <w:r>
        <w:rPr>
          <w:b/>
        </w:rPr>
        <w:t xml:space="preserve">Ergebnis: </w:t>
      </w:r>
      <w:r>
        <w:t>Kein konkretes Ergebnis im Abstract berichtet; nur Ankündigung des Themas ohne quantitative Befunde oder definitive Empfehlungen.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Erfüllt Auswahlkriterium nicht; kein benennbares Ergebnis.</w:t>
      </w:r>
    </w:p>
    <w:p>
      <w:r>
        <w:rPr>
          <w:color w:val="5A7D3A"/>
          <w:sz w:val="18"/>
        </w:rPr>
        <w:t>https://pubmed.ncbi.nlm.nih.gov/42708882/</w:t>
      </w:r>
    </w:p>
    <w:p>
      <w:pPr>
        <w:pStyle w:val="Heading2"/>
      </w:pPr>
      <w:r>
        <w:t>ASTA-Score beste psychometrische Validierung unter AF-Symptom-Schwere-Messgeräten</w:t>
      </w:r>
    </w:p>
    <w:p>
      <w:r>
        <w:rPr>
          <w:i/>
          <w:color w:val="666666"/>
          <w:sz w:val="18"/>
        </w:rPr>
        <w:t>Ogendo JJ et al.  ·  Europace  ·  08.09.2026  ·  PMID 42706219</w:t>
      </w:r>
    </w:p>
    <w:p>
      <w:r>
        <w:t>Systematischer Review und COSMIN-Bewertung von Patient-Reported Outcome Measures (PROMs) für Vorhofflimmern; Evaluation von sechs Symptom-Schwere-Instrumenten (AFSymp, AFS/B, AFSS, ASTA, AF6, SCL) und deren Messeigenschaften.</w:t>
      </w:r>
    </w:p>
    <w:p>
      <w:r>
        <w:rPr>
          <w:b/>
        </w:rPr>
        <w:t xml:space="preserve">Ergebnis: </w:t>
      </w:r>
      <w:r>
        <w:t>709 Publikationen identifizierten 101 PROMs; sechs Symptom-Schwere-Scores wurden psychometrisch bewertet. ASTA zeigte die meiste Validierungseviden und größte Sicherheit bei Inhaltsvalidität sowie interne Konsistenz. COSMIN-Bewertungen enthüllten kritische Lücken in Responsiveness und kulturübergreifender Validität. Empfehlung: COSMIN-konforme Validierung aller PROMs vor Routineintegration in AF-Versorgung.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Europa; Systematik übertragbar auf deutsches Setting für Versorgungsqualität und Patient-Reported Outcomes.</w:t>
      </w:r>
    </w:p>
    <w:p>
      <w:r>
        <w:rPr>
          <w:color w:val="5A7D3A"/>
          <w:sz w:val="18"/>
        </w:rPr>
        <w:t>https://pubmed.ncbi.nlm.nih.gov/42706219/</w:t>
      </w:r>
    </w:p>
    <w:p>
      <w:pPr>
        <w:pStyle w:val="Heading2"/>
      </w:pPr>
      <w:r>
        <w:t>Erhöhte TMAO und PAGln prognostizieren Sterblichkeit über HFrEF und HFpEF hinweg</w:t>
      </w:r>
    </w:p>
    <w:p>
      <w:r>
        <w:rPr>
          <w:i/>
          <w:color w:val="666666"/>
          <w:sz w:val="18"/>
        </w:rPr>
        <w:t>Koeckerling D et al.  ·  Eur J Heart Fail  ·  01.09.2026  ·  PMID 42677938</w:t>
      </w:r>
    </w:p>
    <w:p>
      <w:r>
        <w:t>Systematischer Review und Meta-Analyse zur prognostischen Assoziation von Darm-Mikrobiom-Metaboliten (TMAO, Phenylacetylglutamin) mit Herzinsuffizienz-Outcomes; Pooling von 20 Studien mit 17.715 Patienten.</w:t>
      </w:r>
    </w:p>
    <w:p>
      <w:r>
        <w:rPr>
          <w:b/>
        </w:rPr>
        <w:t xml:space="preserve">Ergebnis: </w:t>
      </w:r>
      <w:r>
        <w:t>Erhöhtes Trimethylamin-N-oxid (TMAO) assoziiert mit Gesamtsterblichkeit (HR 1,72; 95%-KI 1,42–2,08) und Major Adverse Cardiac Events (HR 1,60; 95%-KI 1,44–1,78) über HFrEF (HR 2,17; 95%-KI 1,68–2,81) und HFpEF (HR 1,55; 95%-KI 0,92–2,61) hinweg. Erhöhtes Phenylacetylglutamin (PAGln) ebenfalls mit Mortalität (HR 1,60; 95%-KI 1,33–1,94) und MACE (HR 1,65; 95%-KI 1,37–1,99) assoziiert. Unterschiede durch Alter, NT-proBNP, Nierenfunktion oder BMI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Meta-Analyse europäischer und internationaler Kohorten; Biomarker auf Routinetauglichkeit zu prüfen.</w:t>
      </w:r>
    </w:p>
    <w:p>
      <w:r>
        <w:rPr>
          <w:color w:val="5A7D3A"/>
          <w:sz w:val="18"/>
        </w:rPr>
        <w:t>https://pubmed.ncbi.nlm.nih.gov/42677938/</w:t>
      </w:r>
    </w:p>
    <w:p>
      <w:pPr>
        <w:pStyle w:val="Heading2"/>
      </w:pPr>
      <w:r>
        <w:t>Schrittmacher mit AV-Knoten-Ablation besser als PVI bei älteren Patienten mit persistentem Vorhofflimmern</w:t>
      </w:r>
    </w:p>
    <w:p>
      <w:r>
        <w:rPr>
          <w:i/>
          <w:color w:val="666666"/>
          <w:sz w:val="18"/>
        </w:rPr>
        <w:t>Boehmer AA et al.  ·  Eur Heart J  ·  31.08.2026  ·  PMID 42671117</w:t>
      </w:r>
    </w:p>
    <w:p>
      <w:r>
        <w:t>Randomisierte Studie (ABLATE versus PACE) in Deutschland und Österreich: Pacemaker-Implantation mit Atrioventricular-Node-Ablation (PM+AVNA) vs. Pulmonalvenenisolation (PVI) bei älteren Patienten (≥75 Jahre) mit symptomatischem persistentem Vorhofflimmern.</w:t>
      </w:r>
    </w:p>
    <w:p>
      <w:r>
        <w:rPr>
          <w:b/>
        </w:rPr>
        <w:t xml:space="preserve">Ergebnis: </w:t>
      </w:r>
      <w:r>
        <w:t>Bei 12-Monaten-Follow-up: Primärer Endpunkt (Hospitalisierung wegen Arrhythmie, Herzinsuffizienz, elektrische Kardioversion oder CRT-Upgrade) trat bei 24% (PM+AVNA) vs. 46% (PVI) auf (Hazard Ratio 0,45; 95%-KI 0,27–0,74; p=0,002). PM+AVNA zeigte weniger AF-Hospitalisierungen und Kardioversionen, aber mehr HF-Hospitalisierungen. Mortalität und Lebensqualität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und österreichisches Gesundheitssystem, direkt übertragbar auf Altersstruktur und Leitlinien.</w:t>
      </w:r>
    </w:p>
    <w:p>
      <w:r>
        <w:rPr>
          <w:color w:val="5A7D3A"/>
          <w:sz w:val="18"/>
        </w:rPr>
        <w:t>https://pubmed.ncbi.nlm.nih.gov/42671117/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