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15.09.2026  |  37 Studien  |  kardio.m-vf.de</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12.09.2026</w:t>
      </w:r>
    </w:p>
    <w:p>
      <w:pPr>
        <w:pStyle w:val="Heading2"/>
      </w:pPr>
      <w:r>
        <w:t xml:space="preserve"> Adipositas und myeloide Inflammation verschlechtern Überleben nach Myokardinfarkt durch TREM1</w:t>
      </w:r>
    </w:p>
    <w:p>
      <w:r>
        <w:rPr>
          <w:i/>
          <w:color w:val="666666"/>
          <w:sz w:val="18"/>
        </w:rPr>
        <w:t xml:space="preserve"> Basic Res Cardiol  ·   2026  ·  PMID  42726202</w:t>
      </w:r>
    </w:p>
    <w:p>
      <w:r>
        <w:t xml:space="preserve"> Experimentelle Studie in Mäusen mit Hochfett-Diät-induzierter Adipositas untersuchte den Einfluss auf Myokardinfarkt-bedingte Entzündung, ventrikuläre Funktion und Überleben mit Fokus auf das myeloide Protein TREM1.</w:t>
      </w:r>
    </w:p>
    <w:p>
      <w:r>
        <w:rPr>
          <w:b/>
        </w:rPr>
        <w:t xml:space="preserve">Ergebnis: </w:t>
      </w:r>
      <w:r>
        <w:t xml:space="preserve"> Obese Mäuse zeigten gegenüber schlanken Mäusen erhöhte Myelopoiese in der Milz, höhere Leukozytenzahlen, erhöhte myokardiale Granulozyt-, Monozyten- und pro-inflammatorische Makrophagenzahlen sowie erhöhte TREM1-Expression am Myokard. Das Überleben 56 Tage nach Myokardinfarkt betrug 58% bei obesen versus 87% bei schlanken Mäusen. TREM1-Blockade führte zu signifikant besserer Erhaltung der systolischen Funktion bei obesen Mäusen. Erkenntnisse deuten auf einen Mechanismus, wie Adipositas über Myelopoiese und TREM1-Aktivierung das Post-Infarkt-Überleben verschlechtert und mögliche therapeutische Ziele bei adipösen Patienten mit Myokardinfarkt aufzeigt.</w:t>
      </w:r>
    </w:p>
    <w:p>
      <w:r>
        <w:rPr>
          <w:b/>
          <w:sz w:val="19"/>
        </w:rPr>
        <w:t xml:space="preserve">Übertragbarkeit: </w:t>
      </w:r>
      <w:r>
        <w:rPr>
          <w:sz w:val="19"/>
        </w:rPr>
        <w:t xml:space="preserve"> Deutsches Zentrum, Grundlagenerkenntnis für adipöse Patientengruppe.</w:t>
      </w:r>
    </w:p>
    <w:p>
      <w:r>
        <w:rPr>
          <w:color w:val="5A7D3A"/>
          <w:sz w:val="18"/>
        </w:rPr>
        <w:t>https://pubmed.ncbi.nlm.nih.gov/ 42726202/</w:t>
      </w:r>
    </w:p>
    <w:p>
      <w:pPr>
        <w:pStyle w:val="Heading2"/>
      </w:pPr>
      <w:r>
        <w:t xml:space="preserve"> Künstliche Intelligenz und Herzmuskel-Phänotypen vorhersagen Myokardinfarkt-Risiko in der Langzeitbeobachtung</w:t>
      </w:r>
    </w:p>
    <w:p>
      <w:r>
        <w:rPr>
          <w:i/>
          <w:color w:val="666666"/>
          <w:sz w:val="18"/>
        </w:rPr>
        <w:t xml:space="preserve"> Eur Heart J Cardiovasc Imaging  ·   2026  ·  PMID  42721291</w:t>
      </w:r>
    </w:p>
    <w:p>
      <w:r>
        <w:t xml:space="preserve"> 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 xml:space="preserve"> 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 xml:space="preserve"> Schottische Studie, vergleichbare europäische Gesundheitssysteme.</w:t>
      </w:r>
    </w:p>
    <w:p>
      <w:r>
        <w:rPr>
          <w:color w:val="5A7D3A"/>
          <w:sz w:val="18"/>
        </w:rPr>
        <w:t>https://pubmed.ncbi.nlm.nih.gov/ 42721291/</w:t>
      </w:r>
    </w:p>
    <w:p>
      <w:pPr>
        <w:pStyle w:val="Heading2"/>
      </w:pPr>
      <w:r>
        <w:t xml:space="preserve"> LMNA-Genotyp und Vorhofflimmern-Risiko in genetischer Kardiomyopathie</w:t>
      </w:r>
    </w:p>
    <w:p>
      <w:r>
        <w:rPr>
          <w:i/>
          <w:color w:val="666666"/>
          <w:sz w:val="18"/>
        </w:rPr>
        <w:t xml:space="preserve"> Circ Heart Fail  ·   2026  ·  PMID  42717878</w:t>
      </w:r>
    </w:p>
    <w:p>
      <w:r>
        <w:t xml:space="preserve"> Beobachtungsstudie von 3.117 Patienten mit genetischer dilatativer Kardiomyopathie (DCM) aus der SHaRe-Registry untersuchte Prävalenz, Inzidenz und Prognosebedeutung von Vorhofflimmern nach Genotyp.</w:t>
      </w:r>
    </w:p>
    <w:p>
      <w:r>
        <w:rPr>
          <w:b/>
        </w:rPr>
        <w:t xml:space="preserve">Ergebnis: </w:t>
      </w:r>
      <w:r>
        <w:t xml:space="preserve"> 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 xml:space="preserve"> Internationale Studie mit niederländischen/europäischen Zentren, vergleichbar mit deutschen Versorgungssystemen.</w:t>
      </w:r>
    </w:p>
    <w:p>
      <w:r>
        <w:rPr>
          <w:color w:val="5A7D3A"/>
          <w:sz w:val="18"/>
        </w:rPr>
        <w:t>https://pubmed.ncbi.nlm.nih.gov/ 42717878/</w:t>
      </w:r>
    </w:p>
    <w:p>
      <w:pPr>
        <w:pStyle w:val="Heading2"/>
      </w:pPr>
      <w:r>
        <w:t xml:space="preserve"> Darmbakterien-Metabolite vorhersagen Sterblichkeit und kardiale Ereignisse bei Herzinsuffizienz</w:t>
      </w:r>
    </w:p>
    <w:p>
      <w:r>
        <w:rPr>
          <w:i/>
          <w:color w:val="666666"/>
          <w:sz w:val="18"/>
        </w:rPr>
        <w:t xml:space="preserve"> Eur J Heart Fail  ·   2026  ·  PMID  42677938</w:t>
      </w:r>
    </w:p>
    <w:p>
      <w:r>
        <w:t xml:space="preserve"> Systematische Übersicht und Metaanalyse von 26 Studien mit 17.715 Patienten (davon 20 in Metaanalyse) untersuchte assoziationen zwischen Darm-Mikrobiom-Metaboliten und Herzinsuffizienz-Outcomes.</w:t>
      </w:r>
    </w:p>
    <w:p>
      <w:r>
        <w:rPr>
          <w:b/>
        </w:rPr>
        <w:t xml:space="preserve">Ergebnis: </w:t>
      </w:r>
      <w:r>
        <w:t xml:space="preserve"> Erhöhtes Trimethylamin-N-Oxid (TMAO) war assoziiert mit Gesamtsterblichkeit (HR 1,72, 95% KI 1,42-2,08, p=0,0002) und MACE (HR 1,60, 95% KI 1,44-1,78, p&lt;0,0001). Der Effekt war konsistent über HFrEF (HR 2,17) und HFpEF (HR 1,55). Erhöhtes Phenylacetylglutamin war assoziiert mit Mortalität (HR 1,60, 95% KI 1,33-1,94) und MACE (HR 1,65, 95% KI 1,37-1,99). Meta-Regression zeigte keine signifikante Effektmodifizierung durch Alter, NT-proBNP, Nierenfunktion oder BMI.</w:t>
      </w:r>
    </w:p>
    <w:p>
      <w:r>
        <w:rPr>
          <w:b/>
          <w:sz w:val="19"/>
        </w:rPr>
        <w:t xml:space="preserve">Übertragbarkeit: </w:t>
      </w:r>
      <w:r>
        <w:rPr>
          <w:sz w:val="19"/>
        </w:rPr>
        <w:t xml:space="preserve"> Deutschland und England - europäische Versorgungssysteme, deutsche Forschungsbeteiligung.</w:t>
      </w:r>
    </w:p>
    <w:p>
      <w:r>
        <w:rPr>
          <w:color w:val="5A7D3A"/>
          <w:sz w:val="18"/>
        </w:rPr>
        <w:t>https://pubmed.ncbi.nlm.nih.gov/ 42677938/</w:t>
      </w:r>
    </w:p>
    <w:p>
      <w:pPr>
        <w:pStyle w:val="Heading2"/>
      </w:pPr>
      <w:r>
        <w:t xml:space="preserve"> PM und AV-Knoten-Ablation besser als PV-Isolationbei älteren Patienten mit Vorhofflimmern</w:t>
      </w:r>
    </w:p>
    <w:p>
      <w:r>
        <w:rPr>
          <w:i/>
          <w:color w:val="666666"/>
          <w:sz w:val="18"/>
        </w:rPr>
        <w:t xml:space="preserve"> Eur Heart J  ·   2026  ·  PMID  42671117</w:t>
      </w:r>
    </w:p>
    <w:p>
      <w:r>
        <w:t xml:space="preserve"> Randomisierte Studie bei älteren Patienten (≥75 Jahre) mit persistierendem Vorhofflimmern und normaler Ejektionsfraktion verglich Schrittmacher-Implantation mit AV-Knoten-Ablation (PM+AVNA) gegen Pulmonalvenen-Isolat ion (PVI) nach 12 Monaten Versorgung.</w:t>
      </w:r>
    </w:p>
    <w:p>
      <w:r>
        <w:rPr>
          <w:b/>
        </w:rPr>
        <w:t xml:space="preserve">Ergebnis: </w:t>
      </w:r>
      <w:r>
        <w:t xml:space="preserve"> Bei 24% der PM+AVNA- und 46% der PVI-Patienten trat das primäre Endpunkt auf (Krankenhauseinweisung wegen Arrhythmie, Herzinsuffizienz, Kardioversion oder CRT-Upgrade; HR 0,45, 95% KI 0,27-0,74; p=0,002). Der Unterschied beruht vor allem auf 54 Arrhythmie-Hospitalisationen und 19 Kardioversionen in der PVI-Gruppe gegen 3 und 1 in der PM+AVNA-Gruppe; in der PM+AVNA-Gruppe gab es 23 Herzinsuffizienz-Hospitalisationen gegen 11 in der PVI-Gruppe. Mortalität, Schlaganfall, Komplikationen und Lebensqualität unterschieden sich nicht signifikant.</w:t>
      </w:r>
    </w:p>
    <w:p>
      <w:r>
        <w:rPr>
          <w:b/>
          <w:sz w:val="19"/>
        </w:rPr>
        <w:t xml:space="preserve">Übertragbarkeit: </w:t>
      </w:r>
      <w:r>
        <w:rPr>
          <w:sz w:val="19"/>
        </w:rPr>
        <w:t xml:space="preserve"> Deutsche Zentren führten diese Studie durch, deutsche Leitlinien können angepasst werden.</w:t>
      </w:r>
    </w:p>
    <w:p>
      <w:r>
        <w:rPr>
          <w:color w:val="5A7D3A"/>
          <w:sz w:val="18"/>
        </w:rPr>
        <w:t>https://pubmed.ncbi.nlm.nih.gov/ 42671117/</w:t>
      </w:r>
    </w:p>
    <w:p>
      <w:pPr>
        <w:pStyle w:val="Heading2"/>
      </w:pPr>
      <w:r>
        <w:t xml:space="preserve"> Trikuspidaliregurgitations-Schwellwerte für Mortalität bei ATTR-Kardiomyopathie</w:t>
      </w:r>
    </w:p>
    <w:p>
      <w:r>
        <w:rPr>
          <w:i/>
          <w:color w:val="666666"/>
          <w:sz w:val="18"/>
        </w:rPr>
        <w:t xml:space="preserve"> JAMA Cardiol  ·   2026  ·  PMID  42671012</w:t>
      </w:r>
    </w:p>
    <w:p>
      <w:r>
        <w:t xml:space="preserve"> Multizentrische Kohortenstudie an 1.124 Patienten mit neu diagnostizierter ATTR-Kardiomyopathie (Derivation n=745, Validierung n=379) untersuchte echokardiographische Parameter der Trikuspidaliregurgitation für Prognose von Gesamtsterblichkeit und Herzinsuffizienz-Hospitalisierung.</w:t>
      </w:r>
    </w:p>
    <w:p>
      <w:r>
        <w:rPr>
          <w:b/>
        </w:rPr>
        <w:t xml:space="preserve">Ergebnis: </w:t>
      </w:r>
      <w:r>
        <w:t xml:space="preserve"> Über einen Median von 25,2 Monaten starben 324 Patienten (28,8%) und 251 (22,3%) wurden wegen Herzinsuffizienz hospitalisiert. Der Vorschlag für Trikuspidaliregurgitation-Schwellwerte (Vena-contracta ≥5 mm, EROA ≥0,25 cm²; Regurgitationsvolumen ≥20 mL) klassifizierte 334 von 1.124 Patienten (29,7%) als hohes oder extremes Risiko, während Standard-Definitionen nur 130 (11,6%) als schwer einstuften. Dieses Modell zeigte bessere Vorhersage von Mortalität (HR 1,41, 95% KI 1,23-1,62) und HF-Hospitalisierungen (HR 1,31, 95% KI 1,12-1,54) als Leitlinien-Definitionen.</w:t>
      </w:r>
    </w:p>
    <w:p>
      <w:r>
        <w:rPr>
          <w:b/>
          <w:sz w:val="19"/>
        </w:rPr>
        <w:t xml:space="preserve">Übertragbarkeit: </w:t>
      </w:r>
      <w:r>
        <w:rPr>
          <w:sz w:val="19"/>
        </w:rPr>
        <w:t xml:space="preserve"> Österreich, Deutschland, Niederlande, Italien - vergleichbare Versorgungssysteme.</w:t>
      </w:r>
    </w:p>
    <w:p>
      <w:r>
        <w:rPr>
          <w:color w:val="5A7D3A"/>
          <w:sz w:val="18"/>
        </w:rPr>
        <w:t>https://pubmed.ncbi.nlm.nih.gov/ 42671012/</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