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23.09.2026  |  6 Studien  |  kardio.m-vf.de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Refibrillation nach öffentlichen Defibrillatoren in Laienreanimation</w:t>
      </w:r>
    </w:p>
    <w:p>
      <w:r>
        <w:rPr>
          <w:i/>
          <w:color w:val="666666"/>
          <w:sz w:val="18"/>
        </w:rPr>
        <w:t>Kernaghan A et al.  ·  Open Heart  ·  22.09.2026  ·  PMID 42772919</w:t>
      </w:r>
    </w:p>
    <w:p>
      <w:r>
        <w:t>Analyse von 1.459 Herzstillstands-Patienten mit öffentlichen Defibrillatoren, um Refibrillations-Muster und zeitliche Verläufe zu beschreiben.</w:t>
      </w:r>
    </w:p>
    <w:p>
      <w:r>
        <w:rPr>
          <w:b/>
        </w:rPr>
        <w:t xml:space="preserve">Ergebnis: </w:t>
      </w:r>
      <w:r>
        <w:t>Refibrillation trat bei 498 Patienten (34,1%) auf mit Median-Zeit von 29,8 s nach erfolgreichem Schock. Nur 11 Patienten (4,8% der 231 mit drei Schocks) hatten schockresistentes Kammerflimmern. Bei 2-Minuten-CPR-Zyklen folgt der nächste Schock etwa 90 s später; dies unterstreicht, dass Refibrillation ein relevantes Phänomen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Defibrillations-Physiologie universal</w:t>
      </w:r>
    </w:p>
    <w:p>
      <w:r>
        <w:rPr>
          <w:color w:val="5A7D3A"/>
          <w:sz w:val="18"/>
        </w:rPr>
        <w:t>https://pubmed.ncbi.nlm.nih.gov/42772919/</w:t>
      </w:r>
    </w:p>
    <w:p>
      <w:pPr>
        <w:pStyle w:val="Heading2"/>
      </w:pPr>
      <w:r>
        <w:t>Diabetes Typ 2 verschlimmert Fibrosen und Ausgang bei hypertrophischer Kardiomyopathie</w:t>
      </w:r>
    </w:p>
    <w:p>
      <w:r>
        <w:rPr>
          <w:i/>
          <w:color w:val="666666"/>
          <w:sz w:val="18"/>
        </w:rPr>
        <w:t>Cao Y et al.  ·  Int J Cardiol  ·  22.09.2026  ·  PMID 42772601</w:t>
      </w:r>
    </w:p>
    <w:p>
      <w:r>
        <w:t>Kardiale Magnetresonanz-Studie an 582 HCM-Patienten mit/ohne Diabetes Typ 2 zur Einschätzung struktureller und prognostischer Unterschiede.</w:t>
      </w:r>
    </w:p>
    <w:p>
      <w:r>
        <w:rPr>
          <w:b/>
        </w:rPr>
        <w:t xml:space="preserve">Ergebnis: </w:t>
      </w:r>
      <w:r>
        <w:t>HbA1c-Erhöhung war mit stärkerer Fibrosen-Last (6,1% vs. 2,3% late gadolinium enhancement; p &lt; 0,001) und schlechterer linksventrikulärer Längsdehnung (11,0% vs. 11,9%; p = 0,002) assoziiert. Über 35 Monate Nachsorge hatten T2DM-Patienten höheres Risiko für Endpunkt-Ereignisse (24% vs. 16%; p = 0,015). Mediationsanalyse zeigte 71% Effekt über Fibrosen vermittelt.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prospektive Validierung nötig, aber HCM-Phänotyp global konsistent</w:t>
      </w:r>
    </w:p>
    <w:p>
      <w:r>
        <w:rPr>
          <w:color w:val="5A7D3A"/>
          <w:sz w:val="18"/>
        </w:rPr>
        <w:t>https://pubmed.ncbi.nlm.nih.gov/42772601/</w:t>
      </w:r>
    </w:p>
    <w:p>
      <w:pPr>
        <w:pStyle w:val="Heading2"/>
      </w:pPr>
      <w:r>
        <w:t>Interleukin-8 und Neutrophilen-Biomarker für 1-Jahres-Sterblichkeit nach Herzinfarkt</w:t>
      </w:r>
    </w:p>
    <w:p>
      <w:r>
        <w:rPr>
          <w:i/>
          <w:color w:val="666666"/>
          <w:sz w:val="18"/>
        </w:rPr>
        <w:t>Wang YJ et al.  ·  Clin Res Cardiol  ·  22.09.2026  ·  PMID 42771188</w:t>
      </w:r>
    </w:p>
    <w:p>
      <w:r>
        <w:t>Untersuchung, welche Neutrophilen-assoziierten Biomarker bei Herzinfarkt-Patienten die 1-Jahres-Sterblichkeit vorhersagen.</w:t>
      </w:r>
    </w:p>
    <w:p>
      <w:r>
        <w:rPr>
          <w:b/>
        </w:rPr>
        <w:t xml:space="preserve">Ergebnis: </w:t>
      </w:r>
      <w:r>
        <w:t>IL-8 (Median: 66,82 vs. 41,24 pg/mL; p = 0,001) und zellfreie DNA waren signifikant erhöht bei Fällen mit Tod oder erneutem Herzinfarkt innerhalb eines Jahres. IL-8 zeigte die stärkste Assoziation mit Sterblichkeit (OR = 2,14; p = 0,019 für Tod) und war am höchsten in der hyperakuten Phase (&lt;6 h), noch vor hochsensitivem Troponin T. Diese Marker könnten die frühe Risikostratifizierung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Schweizer Kohortendaten (SPUM-ACS), vergleichbar mit deutschem Dokumentations­standard</w:t>
      </w:r>
    </w:p>
    <w:p>
      <w:r>
        <w:rPr>
          <w:color w:val="5A7D3A"/>
          <w:sz w:val="18"/>
        </w:rPr>
        <w:t>https://pubmed.ncbi.nlm.nih.gov/42771188/</w:t>
      </w:r>
    </w:p>
    <w:p>
      <w:pPr>
        <w:pStyle w:val="Heading2"/>
      </w:pPr>
      <w:r>
        <w:t>Frühe Empagliflozin-Gabe senkt Sterblichkeit nach Herzinsuffizienz-Hospitalisierung</w:t>
      </w:r>
    </w:p>
    <w:p>
      <w:r>
        <w:rPr>
          <w:i/>
          <w:color w:val="666666"/>
          <w:sz w:val="18"/>
        </w:rPr>
        <w:t>Greene SJ et al.  ·  ESC Heart Fail  ·  22.09.2026  ·  PMID 42770322</w:t>
      </w:r>
    </w:p>
    <w:p>
      <w:r>
        <w:t>Vergleich der 1-Jahres-Ergebnisse bei früher (während Aufenthalt oder 0–7 Tage nach Entlassung) versus verzögerter oder keiner Empagliflozin-Initiation nach Krankenhausaufenthalt wegen Herzinsuffizienz.</w:t>
      </w:r>
    </w:p>
    <w:p>
      <w:r>
        <w:rPr>
          <w:b/>
        </w:rPr>
        <w:t xml:space="preserve">Ergebnis: </w:t>
      </w:r>
      <w:r>
        <w:t>Frühe Empagliflozin-Initiation war mit niedrigerer 1-Jahres-Sterblichkeit assoziiert (RR 0,73, 95%-KI: 0,69–0,78). Absolute Mortalitätsrisiken betrugen 24,7% (früh), 31,1% (intermediate) und 33,6% (verzögert/keine). Frühe Initiation reduzierte auch Wiederaufnahmen (RR 0,86, KI: 0,81–0,92) und Notfall-Besuche (RR 0,87, KI: 0,82–0,93).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US-Verwaltungsdaten (Optum), Ergebnis unabhängig von Versorgungssystem</w:t>
      </w:r>
    </w:p>
    <w:p>
      <w:r>
        <w:rPr>
          <w:color w:val="5A7D3A"/>
          <w:sz w:val="18"/>
        </w:rPr>
        <w:t>https://pubmed.ncbi.nlm.nih.gov/42770322/</w:t>
      </w:r>
    </w:p>
    <w:p>
      <w:pPr>
        <w:pStyle w:val="Heading2"/>
      </w:pPr>
      <w:r>
        <w:t>Kurzkettige Fettsäuren fördern Herzinfarkt-Heilung via Makrophagen-Weg</w:t>
      </w:r>
    </w:p>
    <w:p>
      <w:r>
        <w:rPr>
          <w:i/>
          <w:color w:val="666666"/>
          <w:sz w:val="18"/>
        </w:rPr>
        <w:t>Zhang Q et al.  ·  Basic Res Cardiol  ·  21.09.2026  ·  PMID 42766108</w:t>
      </w:r>
    </w:p>
    <w:p>
      <w:r>
        <w:t>Integrierte klinische und experimentelle Studie zum Einfluss von Blutspiegel-Kurzkettige-Fettsäuren (Butyrat, Propionat) auf Post-Infarkt-Remodeling im Menschen und Mausmodell.</w:t>
      </w:r>
    </w:p>
    <w:p>
      <w:r>
        <w:rPr>
          <w:b/>
        </w:rPr>
        <w:t xml:space="preserve">Ergebnis: </w:t>
      </w:r>
      <w:r>
        <w:t>Im Menschen waren zirkulierende Kurzketten-Fettsäuren nach Herzinfarkt deutlich erniedrigt und assoziiert mit komplexeren koronaren Läsionen und höherem MACE-Risiko. Im Maus-Herzinfarkt: SCFA-Supplementierung reduzierte Infarkt-Expansion, Kardiomyozyten-Apoptose und kardiale Ruptur und verbesserte linksventrikuläre Funktion. Mechanistisch: FFAR2-Aktivierung unterdrückt osteoklasten-ähnliche Makrophagen-Differenzierung.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Deutsch-chinesische Kooperation (Beijing), Mechanisms gelten translational</w:t>
      </w:r>
    </w:p>
    <w:p>
      <w:r>
        <w:rPr>
          <w:color w:val="5A7D3A"/>
          <w:sz w:val="18"/>
        </w:rPr>
        <w:t>https://pubmed.ncbi.nlm.nih.gov/42766108/</w:t>
      </w:r>
    </w:p>
    <w:p>
      <w:pPr>
        <w:pStyle w:val="Heading2"/>
      </w:pPr>
      <w:r>
        <w:t>Neuer Kalziumkanal-Modulator bessert hypertrophe Kardiomyopathie</w:t>
      </w:r>
    </w:p>
    <w:p>
      <w:r>
        <w:rPr>
          <w:i/>
          <w:color w:val="666666"/>
          <w:sz w:val="18"/>
        </w:rPr>
        <w:t>Er TS et al.  ·  Circ Res  ·  18.09.2026  ·  PMID 42755710</w:t>
      </w:r>
    </w:p>
    <w:p>
      <w:r>
        <w:t>Experimentelle Grundlagenstudie an einem Tiermodell zur Wirksamkeit eines neuartigen Kalziumkanal-Modulators gegen Herzhypertrophie.</w:t>
      </w:r>
    </w:p>
    <w:p>
      <w:r>
        <w:rPr>
          <w:b/>
        </w:rPr>
        <w:t xml:space="preserve">Ergebnis: </w:t>
      </w:r>
      <w:r>
        <w:t>Abstract stellt nur die Untersuchung dar, nennt aber keine quantitativen Ergebnisse zur Wirkung oder zum Ausmaß der 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Australisch-deutsches Grundlagenwerk, noch klinischer Weg unklar</w:t>
      </w:r>
    </w:p>
    <w:p>
      <w:r>
        <w:rPr>
          <w:color w:val="5A7D3A"/>
          <w:sz w:val="18"/>
        </w:rPr>
        <w:t>https://pubmed.ncbi.nlm.nih.gov/42755710/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