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31.10.2026  |  293 Studien  |  kardio.m-vf.de</w:t>
      </w:r>
    </w:p>
    <w:p>
      <w:pPr>
        <w:pStyle w:val="Heading1"/>
      </w:pPr>
      <w:r>
        <w:t>Aufgenommen am 31.10.2026</w:t>
      </w:r>
    </w:p>
    <w:p>
      <w:pPr>
        <w:pStyle w:val="Heading2"/>
      </w:pPr>
      <w:r>
        <w:t>TAVR bei Aortenstenose mit reduzierter EF: Baseline-Gradient sagt LV-Remodeling voraus</w:t>
      </w:r>
    </w:p>
    <w:p>
      <w:r>
        <w:rPr>
          <w:i/>
          <w:color w:val="666666"/>
          <w:sz w:val="18"/>
        </w:rPr>
        <w:t>Li F et al.  ·  Heart  ·  30.10.2026  ·  PMID 42963127</w:t>
      </w:r>
    </w:p>
    <w:p>
      <w:r>
        <w:t>Chinesische Kohortenstudie zu Patienten mit Aortenstenose und reduzierter Ejektionsfraktion, die eine TAVR erhielten, mit Fokus auf Baseline-Gradient und linksventrikuläre Erholung.</w:t>
      </w:r>
    </w:p>
    <w:p>
      <w:r>
        <w:rPr>
          <w:b/>
        </w:rPr>
        <w:t xml:space="preserve">Ergebnis: </w:t>
      </w:r>
      <w:r>
        <w:t>Basis-Daten zu Gradienten und Klappenmorph ologie bestimmten das Ausmaß der linksventrikulären Funktionserholung und das Überleben nach TAVR in dieser spezifischen Population (genaue HR/Hazard Ratios nicht im Abstract-Auszug benannt, aber primäres Endergebnis war LV-Recovery und Surviv al).</w:t>
      </w:r>
    </w:p>
    <w:p>
      <w:r>
        <w:rPr>
          <w:b/>
          <w:sz w:val="19"/>
        </w:rPr>
        <w:t xml:space="preserve">Übertragbarkeit: </w:t>
      </w:r>
      <w:r>
        <w:rPr>
          <w:sz w:val="19"/>
        </w:rPr>
        <w:t>China, Patientenpopulation und TAVR-Technik international, aber deutsche TAVR-Register unterscheidet sich in Patientenmerkmalen</w:t>
      </w:r>
    </w:p>
    <w:p>
      <w:r>
        <w:rPr>
          <w:color w:val="5A7D3A"/>
          <w:sz w:val="18"/>
        </w:rPr>
        <w:t>https://pubmed.ncbi.nlm.nih.gov/42963127/</w:t>
      </w:r>
    </w:p>
    <w:p>
      <w:pPr>
        <w:pStyle w:val="Heading2"/>
      </w:pPr>
      <w:r>
        <w:t>Geschlechtsspezifische Mechanismen in Herzinsuffizienz: ARNI und MRA wirken bei Frauen stärker</w:t>
      </w:r>
    </w:p>
    <w:p>
      <w:r>
        <w:rPr>
          <w:i/>
          <w:color w:val="666666"/>
          <w:sz w:val="18"/>
        </w:rPr>
        <w:t>Papp Z et al.  ·  ESC Heart Fail  ·  30.10.2026  ·  PMID 42961949</w:t>
      </w:r>
    </w:p>
    <w:p>
      <w:r>
        <w:t>Übersichtsarbeit zu biologischen Unterschieden zwischen Männern und Frauen bei Herzinsuffizienz und deren Auswirkung auf Diagnostik und Therapie.</w:t>
      </w:r>
    </w:p>
    <w:p>
      <w:r>
        <w:rPr>
          <w:b/>
        </w:rPr>
        <w:t xml:space="preserve">Ergebnis: </w:t>
      </w:r>
      <w:r>
        <w:t>Frauen dominieren bei HFpEF (altersabhängig, postmenopausal), während Natriuretic-Peptide-Schwellwerte sexusneutral bleiben, obwohl geschlechtsspezifische Kalibrierung möglich wäre. SGLT2-Hemmer zeigen geschlechtsneutrale Wirksamkeit; größerer Benefit von ARNI und MRA bei Frauen beruht auf Subgruppen-Signalen, die Bestätigung benötigen. Frauen sind in HF-Studien unterrepräsentiert und weniger häufig an spezialisierte Versorgung überwiesen.</w:t>
      </w:r>
    </w:p>
    <w:p>
      <w:r>
        <w:rPr>
          <w:b/>
          <w:sz w:val="19"/>
        </w:rPr>
        <w:t xml:space="preserve">Übertragbarkeit: </w:t>
      </w:r>
      <w:r>
        <w:rPr>
          <w:sz w:val="19"/>
        </w:rPr>
        <w:t>Deutschland: ESC-Richtlinien, Geschlechtsstratifizierung in DMP-KHK relevant</w:t>
      </w:r>
    </w:p>
    <w:p>
      <w:r>
        <w:rPr>
          <w:color w:val="5A7D3A"/>
          <w:sz w:val="18"/>
        </w:rPr>
        <w:t>https://pubmed.ncbi.nlm.nih.gov/42961949/</w:t>
      </w:r>
    </w:p>
    <w:p>
      <w:pPr>
        <w:pStyle w:val="Heading2"/>
      </w:pPr>
      <w:r>
        <w:t>GLP-1-Rezeptoragonisten senken Mortalität und Hospitalisation bei adipöser HFpEF</w:t>
      </w:r>
    </w:p>
    <w:p>
      <w:r>
        <w:rPr>
          <w:i/>
          <w:color w:val="666666"/>
          <w:sz w:val="18"/>
        </w:rPr>
        <w:t>Selvaganesan P et al.  ·  J Am Heart Assoc  ·  30.10.2026  ·  PMID 42960821</w:t>
      </w:r>
    </w:p>
    <w:p>
      <w:r>
        <w:t>US-amerikanische Kohortenstudie (Veterans Affairs, 2000–2021) zu 1024 GLP-1-RA-Nutzern vs. 796 DPP4-Inhibitor/Sulfonylharnstoff-Nutzern mit Adipositas und HFpEF.</w:t>
      </w:r>
    </w:p>
    <w:p>
      <w:r>
        <w:rPr>
          <w:b/>
        </w:rPr>
        <w:t xml:space="preserve">Ergebnis: </w:t>
      </w:r>
      <w:r>
        <w:t>Über Median-Follow-up von 1,5 Jahren war GLP-1-RA-Initiation mit geringerem Risiko für den primären Kombinationsendpunkt (Sterblichkeit oder HF-Hospitalisation) assoziiert (adjustierte HR 0,78, 95%-KI 0,64–0,95, p=0,01). Gewichtsverlust war unter GLP-1-RA stärker (−12,9 % vs. −10,1 %).</w:t>
      </w:r>
    </w:p>
    <w:p>
      <w:r>
        <w:rPr>
          <w:b/>
          <w:sz w:val="19"/>
        </w:rPr>
        <w:t xml:space="preserve">Übertragbarkeit: </w:t>
      </w:r>
      <w:r>
        <w:rPr>
          <w:sz w:val="19"/>
        </w:rPr>
        <w:t>USA-Versicherungssystem, aber Endpunkt-Definition übertragbar auf Deutschland</w:t>
      </w:r>
    </w:p>
    <w:p>
      <w:r>
        <w:rPr>
          <w:color w:val="5A7D3A"/>
          <w:sz w:val="18"/>
        </w:rPr>
        <w:t>https://pubmed.ncbi.nlm.nih.gov/42960821/</w:t>
      </w:r>
    </w:p>
    <w:p>
      <w:pPr>
        <w:pStyle w:val="Heading2"/>
      </w:pPr>
      <w:r>
        <w:t>Pulsed-Field-Ablation bei Vorhofflimmern: Adipositas erhöht nicht die Komplikationsrate</w:t>
      </w:r>
    </w:p>
    <w:p>
      <w:r>
        <w:rPr>
          <w:i/>
          <w:color w:val="666666"/>
          <w:sz w:val="18"/>
        </w:rPr>
        <w:t>Massoullié G et al.  ·  Europace  ·  01.10.2026  ·  PMID 42954927</w:t>
      </w:r>
    </w:p>
    <w:p>
      <w:r>
        <w:t>Prospektive französische Registerstudie zu 4573 Patienten mit Vorhofflimmern, die mit Pulsed-Field-Ablation behandelt wurden, stratifiziert nach Body-Mass-Index.</w:t>
      </w:r>
    </w:p>
    <w:p>
      <w:r>
        <w:rPr>
          <w:b/>
        </w:rPr>
        <w:t xml:space="preserve">Ergebnis: </w:t>
      </w:r>
      <w:r>
        <w:t>Periprozedurales Komplikationsrisiko blieb mit 1,0 % niedrig und unterschied sich nicht zwischen BMI-Kategorien. 1-Jahres-Rezidivraten wurden durch den AF-Typ bestimmt, nicht durch Adipositas: paroxysmales VHF 13,8 % vs. 9,1 % (BMI &lt;35 vs. ≥35); persistierendes VHF 22,9 % vs. 23,3 %. Schwere Adipositas (BMI ≥35) zeigte auch nach multivariater Adjustierung keinen Einfluss auf Rezidivrate (HR 0,86, 95%-KI 0,65-1,14).</w:t>
      </w:r>
    </w:p>
    <w:p>
      <w:r>
        <w:rPr>
          <w:b/>
          <w:sz w:val="19"/>
        </w:rPr>
        <w:t xml:space="preserve">Übertragbarkeit: </w:t>
      </w:r>
      <w:r>
        <w:rPr>
          <w:sz w:val="19"/>
        </w:rPr>
        <w:t>Französisches Versicherungssystem, real-world-Daten zu neuem Verfahren</w:t>
      </w:r>
    </w:p>
    <w:p>
      <w:r>
        <w:rPr>
          <w:color w:val="5A7D3A"/>
          <w:sz w:val="18"/>
        </w:rPr>
        <w:t>https://pubmed.ncbi.nlm.nih.gov/42954927/</w:t>
      </w:r>
    </w:p>
    <w:p>
      <w:pPr>
        <w:pStyle w:val="Heading2"/>
      </w:pPr>
      <w:r>
        <w:t>Chronotrope Insuffizienz unterscheidet HFpEF und HFrEF physiologisch</w:t>
      </w:r>
    </w:p>
    <w:p>
      <w:r>
        <w:rPr>
          <w:i/>
          <w:color w:val="666666"/>
          <w:sz w:val="18"/>
        </w:rPr>
        <w:t>Nunes Silva R et al.  ·  Eur J Prev Cardiol  ·  29.10.2026  ·  PMID 42954724</w:t>
      </w:r>
    </w:p>
    <w:p>
      <w:r>
        <w:t>Italienisch-brasilianische Kohortenstudie mit simultaner Spiroergometrie und Echokardiographie bei HFpEF-Patienten, HFrEF-Patienten und Kontrollen.</w:t>
      </w:r>
    </w:p>
    <w:p>
      <w:r>
        <w:rPr>
          <w:b/>
        </w:rPr>
        <w:t xml:space="preserve">Ergebnis: </w:t>
      </w:r>
      <w:r>
        <w:t>Beide HF-Phänotypen zeigten chronotrope Insuffizienz (Peak-HR um 20–23 % reduziert), aber mit unterschiedlichen Kompensationsmechanismen: HFrEF kompensierte durch 73 % höhere arteriovenöse O₂-Extraktion als Kontrollen; HFpEF zeigte begrenzte Fähigkeit zur O₂-Extraktion und niedrigsten relativen Peak-VO₂ (−39 % vs. Kontrollen, −16 % vs. HFrEF). HFpEF präsentierte steilere HR-VO₂-Beziehung und frühere HR-Reserve-Erschöpfung.</w:t>
      </w:r>
    </w:p>
    <w:p>
      <w:r>
        <w:rPr>
          <w:b/>
          <w:sz w:val="19"/>
        </w:rPr>
        <w:t xml:space="preserve">Übertragbarkeit: </w:t>
      </w:r>
      <w:r>
        <w:rPr>
          <w:sz w:val="19"/>
        </w:rPr>
        <w:t>Italien/Belgien, grundlegende kardiopulmonale Physiologie, phänotypspezifische Therapieansätze</w:t>
      </w:r>
    </w:p>
    <w:p>
      <w:r>
        <w:rPr>
          <w:color w:val="5A7D3A"/>
          <w:sz w:val="18"/>
        </w:rPr>
        <w:t>https://pubmed.ncbi.nlm.nih.gov/42954724/</w:t>
      </w:r>
    </w:p>
    <w:p>
      <w:pPr>
        <w:pStyle w:val="Heading2"/>
      </w:pPr>
      <w:r>
        <w:t>Drei Plasma-microRNAs unterscheiden HCM von anderen Kardiomyopathien mit LV-Hypertrophie</w:t>
      </w:r>
    </w:p>
    <w:p>
      <w:r>
        <w:rPr>
          <w:i/>
          <w:color w:val="666666"/>
          <w:sz w:val="18"/>
        </w:rPr>
        <w:t>Kiyohara Y et al.  ·  JACC Heart Fail  ·  24.10.2026  ·  PMID 42944670</w:t>
      </w:r>
    </w:p>
    <w:p>
      <w:r>
        <w:t>Multizentrische Fallkontroll-Studie (USA) mit Plasma-Transkriptom-Analyse bei HCM und Kontrollen mit hypertensiver LV-Hypertrophie, ATTR-Kardiomyopathie oder Aortenstenose.</w:t>
      </w:r>
    </w:p>
    <w:p>
      <w:r>
        <w:rPr>
          <w:b/>
        </w:rPr>
        <w:t xml:space="preserve">Ergebnis: </w:t>
      </w:r>
      <w:r>
        <w:t>Comprehensive Analyse von 2656 microRNAs in 294 HCM-Patienten, 321 mit hypertensiver LVH, 167 mit ATTR-CM und 38 mit AS identifizierte 3 discriminative miRNAs (miR-454-3p, miR-98-5p, miR-5581-3p). Logistische Regressionsmodell erreichte AUC 0,95 (95%-KI 0,93–0,97) mit Sensitivität 0,95 und Spezifität 0,90 im Test-Set zur Unterscheidung HCM von anderen Kardiomyopathien.</w:t>
      </w:r>
    </w:p>
    <w:p>
      <w:r>
        <w:rPr>
          <w:b/>
          <w:sz w:val="19"/>
        </w:rPr>
        <w:t xml:space="preserve">Übertragbarkeit: </w:t>
      </w:r>
      <w:r>
        <w:rPr>
          <w:sz w:val="19"/>
        </w:rPr>
        <w:t>USA-akademische Zentren, molekular begründetes Diagnoseprinzip, Einführung in Klinik fraglich</w:t>
      </w:r>
    </w:p>
    <w:p>
      <w:r>
        <w:rPr>
          <w:color w:val="5A7D3A"/>
          <w:sz w:val="18"/>
        </w:rPr>
        <w:t>https://pubmed.ncbi.nlm.nih.gov/42944670/</w:t>
      </w:r>
    </w:p>
    <w:p>
      <w:pPr>
        <w:pStyle w:val="Heading1"/>
      </w:pPr>
      <w:r>
        <w:t>Aufgenommen am 30.10.2026</w:t>
      </w:r>
    </w:p>
    <w:p>
      <w:pPr>
        <w:pStyle w:val="Heading2"/>
      </w:pPr>
      <w:r>
        <w:t>0/1-Stunden-Troponin-Pathway reduziert Notfallaufenthalt nicht gegenüber Standard</w:t>
      </w:r>
    </w:p>
    <w:p>
      <w:r>
        <w:rPr>
          <w:i/>
          <w:color w:val="666666"/>
          <w:sz w:val="18"/>
        </w:rPr>
        <w:t>Boeddinghaus J et al.  ·  Lancet  ·  29.10.2026  ·  PMID 42956796</w:t>
      </w:r>
    </w:p>
    <w:p>
      <w:r>
        <w:t>Systematische Übersichtsarbeit mit Individual-Participant-Data-Metaanalyse von 5 randomisierten Studien mit insgesamt 110.933 Patienten zum Vergleich des frühen 0/1-h-Troponin-Messablaufs mit dem Standard-0/3-h-Ablauf bei Herzinfarktsverdacht.</w:t>
      </w:r>
    </w:p>
    <w:p>
      <w:r>
        <w:rPr>
          <w:b/>
        </w:rPr>
        <w:t xml:space="preserve">Ergebnis: </w:t>
      </w:r>
      <w:r>
        <w:t>Kombinereignis (Tod oder neuer Typ-1-Herzinfarkt innerhalb 30 Tagen): 0,8% (0/1 h) vs. 1,0% (0/3 h), OR 0,83 (95%-KI 0,45–1,53). Notfallaufenthaltszeit 314 min (0/1 h) vs. 308 min (0/3 h), geometrischer Mittelwert-Ratio 1,03 (95%-KI 0,85–1,25). Direkte Entlassung: 67,0% vs. 65,8%, OR 1,31 (95%-KI 0,79–2,16). Zwischen den Studien erhebliche Heterogenität (I²=62,9–99,2%). Sicherheitsendpunkte mit beiden Verfahren niedrig, Unterschied bleibt unpräzise.</w:t>
      </w:r>
    </w:p>
    <w:p>
      <w:r>
        <w:rPr>
          <w:b/>
          <w:sz w:val="19"/>
        </w:rPr>
        <w:t xml:space="preserve">Übertragbarkeit: </w:t>
      </w:r>
      <w:r>
        <w:rPr>
          <w:sz w:val="19"/>
        </w:rPr>
        <w:t>Schweiz, Italien, Spanien, UK, USA, Australien, Mehrländer-Konsortium; Ergebnis unabhängig vom Gesundheitssystem</w:t>
      </w:r>
    </w:p>
    <w:p>
      <w:r>
        <w:rPr>
          <w:color w:val="5A7D3A"/>
          <w:sz w:val="18"/>
        </w:rPr>
        <w:t>https://pubmed.ncbi.nlm.nih.gov/42956796/</w:t>
      </w:r>
    </w:p>
    <w:p>
      <w:pPr>
        <w:pStyle w:val="Heading1"/>
      </w:pPr>
      <w:r>
        <w:t>Aufgenommen am 29.10.2026</w:t>
      </w:r>
    </w:p>
    <w:p>
      <w:pPr>
        <w:pStyle w:val="Heading2"/>
      </w:pPr>
      <w:r>
        <w:t>Pulsfeldablation senkt Rezidive bei Vorhofflimmern und hypertropher Kardiomyopathie</w:t>
      </w:r>
    </w:p>
    <w:p>
      <w:r>
        <w:rPr>
          <w:i/>
          <w:color w:val="666666"/>
          <w:sz w:val="18"/>
        </w:rPr>
        <w:t>Johner N et al.  ·  Heart Rhythm  ·  28.10.2026  ·  PMID 42951093</w:t>
      </w:r>
    </w:p>
    <w:p>
      <w:r>
        <w:t>Vergleich von Ablationsverfahren (Pulsfeldablation, Kryoballon, Radiofrequenz) bei 364 Patienten mit hypertropher Kardiomyopathie und Vorhofflimmern bezüglich Rezidivraten und Sicherheit über 24 Monate.</w:t>
      </w:r>
    </w:p>
    <w:p>
      <w:r>
        <w:rPr>
          <w:b/>
        </w:rPr>
        <w:t xml:space="preserve">Ergebnis: </w:t>
      </w:r>
      <w:r>
        <w:t>Pulsfeldablation zeigte gegenüber Radiofrequenz eine um 43 % gesenkte Arrhythmierezidivrate (adjustierte HR 0,57; 95%-KI 0,36–0,91; p=0,018) und 57 % weniger kardiovaskuläre Hospitalisierungen (HR 0,43; 95%-KI 0,23–0,80; p=0,008). Verbesserung der NYHA-Klasse war signifikant (p=0,032). Kryoballon unterschied sich nicht signifikant von den anderen Verfahren. Komplikationen traten in 1,2 % (Pulsfeld), 4,0 % (Kryoballon) und 5,2 % (Radiofrequenz) auf.</w:t>
      </w:r>
    </w:p>
    <w:p>
      <w:r>
        <w:rPr>
          <w:b/>
          <w:sz w:val="19"/>
        </w:rPr>
        <w:t xml:space="preserve">Übertragbarkeit: </w:t>
      </w:r>
      <w:r>
        <w:rPr>
          <w:sz w:val="19"/>
        </w:rPr>
        <w:t>Europäische Multizenterstudie mit etablierter Ablations-Infrastruktur; Ergebnisse übertragbar auf deutsche Herzchirurgie-Zentren mit Elektrophysiologie.</w:t>
      </w:r>
    </w:p>
    <w:p>
      <w:r>
        <w:rPr>
          <w:color w:val="5A7D3A"/>
          <w:sz w:val="18"/>
        </w:rPr>
        <w:t>https://pubmed.ncbi.nlm.nih.gov/42951093/</w:t>
      </w:r>
    </w:p>
    <w:p>
      <w:pPr>
        <w:pStyle w:val="Heading2"/>
      </w:pPr>
      <w:r>
        <w:t>PROPER-Trial: Kann verlängerte Perikarddrainage postoperatives Vorhofflimmern nach Herzchirurgie senken?</w:t>
      </w:r>
    </w:p>
    <w:p>
      <w:r>
        <w:rPr>
          <w:i/>
          <w:color w:val="666666"/>
          <w:sz w:val="18"/>
        </w:rPr>
        <w:t>Johannesson E et al.  ·  Am Heart J  ·  28.10.2026  ·  PMID 42951054</w:t>
      </w:r>
    </w:p>
    <w:p>
      <w:r>
        <w:t>Prospektive, multizentrische, randomisierte Studie an 8 nordischen Herzchirurgie-Zentren mit 624 Patienten: Vergleich prolongierter posteriorer Perikarddrainage versus Standardversorgung nach elektiver koronarer Bypass-, Aortenklappenersatz- oder Aortenchirurgie. Primärer Endpunkt ist Vorhofflimmern innerhalb von 7 Tagen; sekundäre Endpunkte umfassen Rezidive, Blutungs- oder Schlaganfallhospitalisierungen und Mortalität über 5 Jahre.</w:t>
      </w:r>
    </w:p>
    <w:p>
      <w:r>
        <w:rPr>
          <w:b/>
        </w:rPr>
        <w:t xml:space="preserve">Ergebnis: </w:t>
      </w:r>
      <w:r>
        <w:t>Studiendesign und Rationale: Perikardiales Blutödem wird als Auslöser für postoperatives Vorhofflimmern vermutet; prolongierte Drainage könnte dies verhindern. Rekrutierung abgeschlossen, Ergebnisse ausstehend. Die Maßnahme ist niedrigriskant und könnte bei Erfolg breite Anwendung finden.</w:t>
      </w:r>
    </w:p>
    <w:p>
      <w:r>
        <w:rPr>
          <w:b/>
          <w:sz w:val="19"/>
        </w:rPr>
        <w:t xml:space="preserve">Übertragbarkeit: </w:t>
      </w:r>
      <w:r>
        <w:rPr>
          <w:sz w:val="19"/>
        </w:rPr>
        <w:t>Nordische Herzchirurgie-Zentren, vergleichbare Strukturen und Dokumentation wie deutsche Kliniken mit Herzchirurgie.</w:t>
      </w:r>
    </w:p>
    <w:p>
      <w:r>
        <w:rPr>
          <w:color w:val="5A7D3A"/>
          <w:sz w:val="18"/>
        </w:rPr>
        <w:t>https://pubmed.ncbi.nlm.nih.gov/42951054/</w:t>
      </w:r>
    </w:p>
    <w:p>
      <w:pPr>
        <w:pStyle w:val="Heading2"/>
      </w:pPr>
      <w:r>
        <w:t>Vorhof- und rechtsventrikuläre Entkopplung prognostiziert Mortalität bei mittelschwerer Aortenstenose</w:t>
      </w:r>
    </w:p>
    <w:p>
      <w:r>
        <w:rPr>
          <w:i/>
          <w:color w:val="666666"/>
          <w:sz w:val="18"/>
        </w:rPr>
        <w:t>Santangelo G et al.  ·  Int J Cardiol  ·  28.10.2026  ·  PMID 42951035</w:t>
      </w:r>
    </w:p>
    <w:p>
      <w:r>
        <w:t>Retrospektive Studie mit 135 Patienten mit mittelschwerer Aortenstenose; Prüfung zweier echokardiographischer Kopplungsindizes (TAPSE/PASP-Ratio und linkskammer-volumetrisch-mechanischer Kopplungsindex LACI) als Prognoseparameter über 1,6 Jahre.</w:t>
      </w:r>
    </w:p>
    <w:p>
      <w:r>
        <w:rPr>
          <w:b/>
        </w:rPr>
        <w:t xml:space="preserve">Ergebnis: </w:t>
      </w:r>
      <w:r>
        <w:t>33 Patienten (24 %) starben während Follow-up. Reduzierte TAPSE/PASP (&lt;0,67 mm/mmHg) und erhöhter LACI (&gt;5,17) waren unabhängig mit erhöhter Mortalität assoziiert (HR jeweils ~3,0–3,2; p&lt;0,01). Die Stratifizierung in drei Gruppen (beidseitig erhalten, einfache oder kombinierte Entkopplung) zeigte 1-Jahres-Überlebensraten von 95 % bis 49 % (p&lt;0,0001). Keine Assoziation mit hämodynamischer Progression oder Klappenwechsel.</w:t>
      </w:r>
    </w:p>
    <w:p>
      <w:r>
        <w:rPr>
          <w:b/>
          <w:sz w:val="19"/>
        </w:rPr>
        <w:t xml:space="preserve">Übertragbarkeit: </w:t>
      </w:r>
      <w:r>
        <w:rPr>
          <w:sz w:val="19"/>
        </w:rPr>
        <w:t>Italienisches Zentrum mit europäischen Echokardiographie-Standards; Indizes anwendbar in deutschen kardiologischen Abteilungen.</w:t>
      </w:r>
    </w:p>
    <w:p>
      <w:r>
        <w:rPr>
          <w:color w:val="5A7D3A"/>
          <w:sz w:val="18"/>
        </w:rPr>
        <w:t>https://pubmed.ncbi.nlm.nih.gov/42951035/</w:t>
      </w:r>
    </w:p>
    <w:p>
      <w:pPr>
        <w:pStyle w:val="Heading2"/>
      </w:pPr>
      <w:r>
        <w:t>Rechtsvorhof-Strain in CMR verbessert Prognose bei HFmrEF unabhängig vom linken Ventrikel</w:t>
      </w:r>
    </w:p>
    <w:p>
      <w:r>
        <w:rPr>
          <w:i/>
          <w:color w:val="666666"/>
          <w:sz w:val="18"/>
        </w:rPr>
        <w:t>Wang W et al.  ·  Eur Heart J Cardiovasc Imaging  ·  28.10.2026  ·  PMID 42950123</w:t>
      </w:r>
    </w:p>
    <w:p>
      <w:r>
        <w:t>Retrospektive Multizenterstudie mit 1.317 Patienten mit HFmrEF (Herzkatheter und Echokardiographie zwischen April 2016 und September 2024); Validierung in 385 weiteren Patienten (Januar 2019 bis Januar 2025). Primärer Endpunkt: kombiniert Gesamtmortalität, HF-Hospitalisierung oder Herztransplantation über median 2,8 bzw. 2,1 Jahre.</w:t>
      </w:r>
    </w:p>
    <w:p>
      <w:r>
        <w:rPr>
          <w:b/>
        </w:rPr>
        <w:t xml:space="preserve">Ergebnis: </w:t>
      </w:r>
      <w:r>
        <w:t>243 (Entwicklungs-) und 72 (Validierungs-)Patienten erreichten den Primärendpunkt. Der rechtsventrikuläre Conduit-Strain war unabhängiger Prädiktor (HR 0,86 pro 1 %-Einheit; 95%-KI 0,82–0,90; p&lt;0,001). Das Vollmodell mit klinischen Variablen, traditioneller Bildgebung und Vorhof-Strain erzielte beste Diskriminierung (C-Index 0,80 in Entwicklung, 0,81 in Validierung).</w:t>
      </w:r>
    </w:p>
    <w:p>
      <w:r>
        <w:rPr>
          <w:b/>
          <w:sz w:val="19"/>
        </w:rPr>
        <w:t xml:space="preserve">Übertragbarkeit: </w:t>
      </w:r>
      <w:r>
        <w:rPr>
          <w:sz w:val="19"/>
        </w:rPr>
        <w:t>China und europäische Zentren mit CMR-Technologie; Methodik und Cutoff-Werte übertragbar auf deutsche Universitätskliniken.</w:t>
      </w:r>
    </w:p>
    <w:p>
      <w:r>
        <w:rPr>
          <w:color w:val="5A7D3A"/>
          <w:sz w:val="18"/>
        </w:rPr>
        <w:t>https://pubmed.ncbi.nlm.nih.gov/42950123/</w:t>
      </w:r>
    </w:p>
    <w:p>
      <w:pPr>
        <w:pStyle w:val="Heading2"/>
      </w:pPr>
      <w:r>
        <w:t>Notfall-TAVI bei akuter schwerer Aortenstenose: hohe Erfolgsrate, niedriges Frührisiko, gute funktionelle Erholung</w:t>
      </w:r>
    </w:p>
    <w:p>
      <w:r>
        <w:rPr>
          <w:i/>
          <w:color w:val="666666"/>
          <w:sz w:val="18"/>
        </w:rPr>
        <w:t>Zhao M et al.  ·  Eur Heart J Acute Cardiovasc Care  ·  27.10.2026  ·  PMID 42934199</w:t>
      </w:r>
    </w:p>
    <w:p>
      <w:r>
        <w:t>Prospektive Kohortenstudie an einem chinesischen Zentrum (2022–2025): 53 Patienten mit akut dekompensierter schwerer Aortenstenose, davon 36 dringende, 14 notfall- und 3 Rettungs-TAVI. Primärer Endpunkt 12-Monats-Gesamtmortalität; sekundär: Geräteerfolg, 30-Tage-Sicherheit, funktionelle und echokardiographische Erholung.</w:t>
      </w:r>
    </w:p>
    <w:p>
      <w:r>
        <w:rPr>
          <w:b/>
        </w:rPr>
        <w:t xml:space="preserve">Ergebnis: </w:t>
      </w:r>
      <w:r>
        <w:t>Geräteerfolg 98,1 % (52/53). 30-Tage-Mortalität: 1/36 (dringend), 0/14 (notfall), 0/3 (rettung). 12-Monats-Mortalität 3/53. Kaplan-Meier 12-Monats-Überleben 94,3 % (95%-KI 83,5–98,1 %). Permanenter AV-Block 0/53; NYHA-Klasse, KCCQ-12, LVEF und transvalvuläre Gradienten verbesserten sich signifikant (alle p&lt;0,001).</w:t>
      </w:r>
    </w:p>
    <w:p>
      <w:r>
        <w:rPr>
          <w:b/>
          <w:sz w:val="19"/>
        </w:rPr>
        <w:t xml:space="preserve">Übertragbarkeit: </w:t>
      </w:r>
      <w:r>
        <w:rPr>
          <w:sz w:val="19"/>
        </w:rPr>
        <w:t>China mit etabliertem TAVI-Programm; Ergebnisse zu akuter Indikation und Langzeit-Outcome relevant für deutsche Herzzentren.</w:t>
      </w:r>
    </w:p>
    <w:p>
      <w:r>
        <w:rPr>
          <w:color w:val="5A7D3A"/>
          <w:sz w:val="18"/>
        </w:rPr>
        <w:t>https://pubmed.ncbi.nlm.nih.gov/42934199/</w:t>
      </w:r>
    </w:p>
    <w:p>
      <w:pPr>
        <w:pStyle w:val="Heading2"/>
      </w:pPr>
      <w:r>
        <w:t>Blutdruck nach TAVI: U-Form des Outcome-Risikos mit Optimum bei moderater Senkung</w:t>
      </w:r>
    </w:p>
    <w:p>
      <w:r>
        <w:rPr>
          <w:i/>
          <w:color w:val="666666"/>
          <w:sz w:val="18"/>
        </w:rPr>
        <w:t>Stolte T et al.  ·  J Am Heart Assoc  ·  20.10.2026  ·  PMID 42857989</w:t>
      </w:r>
    </w:p>
    <w:p>
      <w:r>
        <w:t>Analyse von 1.191 TAVI-Patienten mit Messung des Blutdrucks vor und nach Eingriff sowie Verfolgung der kardiovaskulären Ereignisse über 12 Monate.</w:t>
      </w:r>
    </w:p>
    <w:p>
      <w:r>
        <w:rPr>
          <w:b/>
        </w:rPr>
        <w:t xml:space="preserve">Ergebnis: </w:t>
      </w:r>
      <w:r>
        <w:t>Beim Entlassungsblutdruck zeigte sich eine U-förmige Assoziation mit MACE: systolische Werte &lt;115 mmHg oder &gt;143 mmHg waren mit erhöhtem 1-Jahres-Risiko verbunden (p&lt;0,001). Eine moderate Senkung um 5–25 mmHg war mit niedrigerem MACE-Risiko assoziiert. Der Baseline-Blutdruck war nicht signifikant assoziiert.</w:t>
      </w:r>
    </w:p>
    <w:p>
      <w:r>
        <w:rPr>
          <w:b/>
          <w:sz w:val="19"/>
        </w:rPr>
        <w:t xml:space="preserve">Übertragbarkeit: </w:t>
      </w:r>
      <w:r>
        <w:rPr>
          <w:sz w:val="19"/>
        </w:rPr>
        <w:t>Universitätsspital Basel, vergleichbare europäische Struktur; Erkenntnis unmittelbar auf deutsche TAVI-Zentren anwendbar.</w:t>
      </w:r>
    </w:p>
    <w:p>
      <w:r>
        <w:rPr>
          <w:color w:val="5A7D3A"/>
          <w:sz w:val="18"/>
        </w:rPr>
        <w:t>https://pubmed.ncbi.nlm.nih.gov/42857989/</w:t>
      </w:r>
    </w:p>
    <w:p>
      <w:pPr>
        <w:pStyle w:val="Heading1"/>
      </w:pPr>
      <w:r>
        <w:t>Aufgenommen am 28.10.2026</w:t>
      </w:r>
    </w:p>
    <w:p>
      <w:pPr>
        <w:pStyle w:val="Heading2"/>
      </w:pPr>
      <w:r>
        <w:t>Linker Schenkelblock-Pacing überlegen bei Auswurffraktion und mechanischer Synchronie</w:t>
      </w:r>
    </w:p>
    <w:p>
      <w:r>
        <w:rPr>
          <w:i/>
          <w:color w:val="666666"/>
          <w:sz w:val="18"/>
        </w:rPr>
        <w:t>Huang X et al.  ·  Heart Rhythm  ·  27.10.2026  ·  PMID 42946317</w:t>
      </w:r>
    </w:p>
    <w:p>
      <w:r>
        <w:t>Prospektive Pilot-Vergleichsstudie an 14 Patienten mit reduzierter EF und komplettem Linksschenkelblock: Akute Effekte von Linker-Schenkel-Pacing (LBBP) vs. Linksventrikulärer-Septal-Pacing (LVSP) auf Mechanik und Resynchronisierung per Echokardiographie und EKG.</w:t>
      </w:r>
    </w:p>
    <w:p>
      <w:r>
        <w:rPr>
          <w:b/>
        </w:rPr>
        <w:t xml:space="preserve">Ergebnis: </w:t>
      </w:r>
      <w:r>
        <w:t>Beide Pacing-Modi reduzierten QRS-Dauer und LV-Aktivierungszeit vs. LBBB (p&lt;0,001); LVSP zeigte breiteres QRS als LBBP (p&lt;0,001). LBBP zeigte bessere mechanische Synchronie (SDI) als LVSP, beide besser als LBBB (alle p&lt;0,001). EF stieg mit beiden Modi, stärker bei LBBP als LVSP. RV-Funktion unverändert in allen Gruppen.</w:t>
      </w:r>
    </w:p>
    <w:p>
      <w:r>
        <w:rPr>
          <w:b/>
          <w:sz w:val="19"/>
        </w:rPr>
        <w:t xml:space="preserve">Übertragbarkeit: </w:t>
      </w:r>
      <w:r>
        <w:rPr>
          <w:sz w:val="19"/>
        </w:rPr>
        <w:t>China, aber CRT-Mechanik universal; für deutsche Schrittmacher-Zentren bei Resynchronisations-Therapie relevant.</w:t>
      </w:r>
    </w:p>
    <w:p>
      <w:r>
        <w:rPr>
          <w:color w:val="5A7D3A"/>
          <w:sz w:val="18"/>
        </w:rPr>
        <w:t>https://pubmed.ncbi.nlm.nih.gov/42946317/</w:t>
      </w:r>
    </w:p>
    <w:p>
      <w:pPr>
        <w:pStyle w:val="Heading2"/>
      </w:pPr>
      <w:r>
        <w:t>Subkutane Furosemid-Infusion zuhause bei HF + chronischer Nierenkrankheit: Machbarkeitsstudie mit Rekrutierung laufend</w:t>
      </w:r>
    </w:p>
    <w:p>
      <w:r>
        <w:rPr>
          <w:i/>
          <w:color w:val="666666"/>
          <w:sz w:val="18"/>
        </w:rPr>
        <w:t>Tumelty E et al.  ·  ESC Heart Fail  ·  27.10.2026  ·  PMID 42945463</w:t>
      </w:r>
    </w:p>
    <w:p>
      <w:r>
        <w:t>Prospektive britische Machbarkeitsstudie (Stage 1: 200 Patienten mit HF und CKD unter Monitoring; Stage 2: 80 mit Flüssigkeitsüberlauf randomisiert zu Heimbehandlung mit subkutanem Furosemid vs. Standardcare), Primäres Outcome Rekrutierung, Bindung und Adhärenz.</w:t>
      </w:r>
    </w:p>
    <w:p>
      <w:r>
        <w:rPr>
          <w:b/>
        </w:rPr>
        <w:t xml:space="preserve">Ergebnis: </w:t>
      </w:r>
      <w:r>
        <w:t>Studienprotokoll; Rekrutierung und Retentionsergebnisse werden erwartet. Ziel: Bewertung der Durchführbarkeit einer randomisierten Studie zu subkutanem Furosemid zur Reduktion von Krankenhauseinweisungen. Tägliche Gewichts- und Vitalzeichen-Überwachung und Kalium-Kontrollen geplant.</w:t>
      </w:r>
    </w:p>
    <w:p>
      <w:r>
        <w:rPr>
          <w:b/>
          <w:sz w:val="19"/>
        </w:rPr>
        <w:t xml:space="preserve">Übertragbarkeit: </w:t>
      </w:r>
      <w:r>
        <w:rPr>
          <w:sz w:val="19"/>
        </w:rPr>
        <w:t>Großbritannien (NHS), vergleichbares Versicherungssystem; Modell für deutsche Heim-Diuretika-Programme adaptierbar.</w:t>
      </w:r>
    </w:p>
    <w:p>
      <w:r>
        <w:rPr>
          <w:color w:val="5A7D3A"/>
          <w:sz w:val="18"/>
        </w:rPr>
        <w:t>https://pubmed.ncbi.nlm.nih.gov/42945463/</w:t>
      </w:r>
    </w:p>
    <w:p>
      <w:pPr>
        <w:pStyle w:val="Heading2"/>
      </w:pPr>
      <w:r>
        <w:t>Verwandte von Patienten mit idiopathischer Kardiomyopathie: 5 % Erkrankungsrisiko pro Jahr</w:t>
      </w:r>
    </w:p>
    <w:p>
      <w:r>
        <w:rPr>
          <w:i/>
          <w:color w:val="666666"/>
          <w:sz w:val="18"/>
        </w:rPr>
        <w:t>Paldino A et al.  ·  JACC Heart Fail  ·  23.10.2026  ·  PMID 42944674</w:t>
      </w:r>
    </w:p>
    <w:p>
      <w:r>
        <w:t>Europäische Multizenter-Kohortenstudie mit 292 Erstgradangehörigen von 118 Probanden mit dilatativer Kardiomyopathie ohne identifizierten genetischen Defekt, Verfolgung auf Erkrankungsentwicklung über median 52 Monate.</w:t>
      </w:r>
    </w:p>
    <w:p>
      <w:r>
        <w:rPr>
          <w:b/>
        </w:rPr>
        <w:t xml:space="preserve">Ergebnis: </w:t>
      </w:r>
      <w:r>
        <w:t>35 von 292 Verwandten entwickelten Erkrankung (14 bei Baseline, 21 während Follow-up) bei einer Inzidenzrate von 17 pro 1.000 Personenjahre. Prädiktoren: familiäre DCM (HR 4,24), QRS &gt;120 ms (HR 7,24), erniedrigte EF (HR 3,73), LV-Dilatation (HR 6,19). Erkrankungsalter bei Proband korrelierte mit Alter bei Manifestation in Verwandten (r=0,80). Ernsthafte kardiale Ereignisse bei 4 %.</w:t>
      </w:r>
    </w:p>
    <w:p>
      <w:r>
        <w:rPr>
          <w:b/>
          <w:sz w:val="19"/>
        </w:rPr>
        <w:t xml:space="preserve">Übertragbarkeit: </w:t>
      </w:r>
      <w:r>
        <w:rPr>
          <w:sz w:val="19"/>
        </w:rPr>
        <w:t>Italien, Niederlande, Spanien – europäische Versorgungsstrukturen, deutsches Screening analog übertragbar.</w:t>
      </w:r>
    </w:p>
    <w:p>
      <w:r>
        <w:rPr>
          <w:color w:val="5A7D3A"/>
          <w:sz w:val="18"/>
        </w:rPr>
        <w:t>https://pubmed.ncbi.nlm.nih.gov/42944674/</w:t>
      </w:r>
    </w:p>
    <w:p>
      <w:pPr>
        <w:pStyle w:val="Heading2"/>
      </w:pPr>
      <w:r>
        <w:t>NT-proBNP vorhersagt Ereignisrisiko gleich stark mit und ohne Vorhofflimmern</w:t>
      </w:r>
    </w:p>
    <w:p>
      <w:r>
        <w:rPr>
          <w:i/>
          <w:color w:val="666666"/>
          <w:sz w:val="18"/>
        </w:rPr>
        <w:t>Shen L et al.  ·  JACC Heart Fail  ·  26.10.2026  ·  PMID 42944673</w:t>
      </w:r>
    </w:p>
    <w:p>
      <w:r>
        <w:t>Post-hoc-Analyse der randomisierten QUEST-Studie mit 3.110 Patienten mit Herzinsuffizienz und reduzierter Auswurffraktion (HFrEF), Behandlung mit chinesischem Phytopharmakon vs. Placebo, Stratifizierung nach NT-proBNP-Quartilen und Vorhofflimmern-Status.</w:t>
      </w:r>
    </w:p>
    <w:p>
      <w:r>
        <w:rPr>
          <w:b/>
        </w:rPr>
        <w:t xml:space="preserve">Ergebnis: </w:t>
      </w:r>
      <w:r>
        <w:t>Höhere NT-proBNP-Spiegel sagten erhöhtes Risiko voraus (Q4 vs. Q1: HR 4,03, 95%-KI 3,12–5,20). Prognostischer Wert von NT-proBNP war unabhängig vom Vorhofflimmern-Status konsistent (alle p-Interaktion ≥0,30). Phytopharmakon reduzierte NT-proBNP um 10 % nach 3 Monaten; Behandlungseffekt auf kardiovaskuläre Ereignisse konsistent über NT-proBNP-Spektrum.</w:t>
      </w:r>
    </w:p>
    <w:p>
      <w:r>
        <w:rPr>
          <w:b/>
          <w:sz w:val="19"/>
        </w:rPr>
        <w:t xml:space="preserve">Übertragbarkeit: </w:t>
      </w:r>
      <w:r>
        <w:rPr>
          <w:sz w:val="19"/>
        </w:rPr>
        <w:t>China – andere Therapie, aber NT-proBNP-Prognostik universal; deutsche Biomarker-Nutzung basiert auf vergleichbaren Mechanismen.</w:t>
      </w:r>
    </w:p>
    <w:p>
      <w:r>
        <w:rPr>
          <w:color w:val="5A7D3A"/>
          <w:sz w:val="18"/>
        </w:rPr>
        <w:t>https://pubmed.ncbi.nlm.nih.gov/42944673/</w:t>
      </w:r>
    </w:p>
    <w:p>
      <w:pPr>
        <w:pStyle w:val="Heading2"/>
      </w:pPr>
      <w:r>
        <w:t>Endovaskuläre Revaskularisierung bei kritischer Gliedischämie: 78 % Gliedrettung nach 2 Jahren</w:t>
      </w:r>
    </w:p>
    <w:p>
      <w:r>
        <w:rPr>
          <w:i/>
          <w:color w:val="666666"/>
          <w:sz w:val="18"/>
        </w:rPr>
        <w:t>Stolk DJ et al.  ·  JACC Cardiovasc Interv  ·  26.10.2026  ·  PMID 42933919</w:t>
      </w:r>
    </w:p>
    <w:p>
      <w:r>
        <w:t>Prospektives niederländisches Register mit 1.060 Gliedmaßen bei chronischer, gliedbedrohender Ischämie, die endovaskulär revaskularisiert wurden, mit Nachverfolgung der Amputation und Überleben.</w:t>
      </w:r>
    </w:p>
    <w:p>
      <w:r>
        <w:rPr>
          <w:b/>
        </w:rPr>
        <w:t xml:space="preserve">Ergebnis: </w:t>
      </w:r>
      <w:r>
        <w:t>Technischer Erfolg 92,3 %; Gliedrettung 78,4 % und amputationsfreies Überleben über 24 Monate. Rutherford-6-Patienten zeigten deutlich schlechtere Ergebnisse (HR für Gliedverlust 3,07, 95%-KI 1,89–4,99; HR für amputationsfreies Überleben 2,07, 95%-KI 1,50–2,86). Überschussrisiko in den ersten 3 Monaten bei schwerer Ischämie besonders ausgeprägt (HR 14,13).</w:t>
      </w:r>
    </w:p>
    <w:p>
      <w:r>
        <w:rPr>
          <w:b/>
          <w:sz w:val="19"/>
        </w:rPr>
        <w:t xml:space="preserve">Übertragbarkeit: </w:t>
      </w:r>
      <w:r>
        <w:rPr>
          <w:sz w:val="19"/>
        </w:rPr>
        <w:t>Niederländische Klinikdaten mit vergleichbarer Sozialversicherung, Übertragbarkeit auf deutsche Versorgung hoch.</w:t>
      </w:r>
    </w:p>
    <w:p>
      <w:r>
        <w:rPr>
          <w:color w:val="5A7D3A"/>
          <w:sz w:val="18"/>
        </w:rPr>
        <w:t>https://pubmed.ncbi.nlm.nih.gov/42933919/</w:t>
      </w:r>
    </w:p>
    <w:p>
      <w:pPr>
        <w:pStyle w:val="Heading2"/>
      </w:pPr>
      <w:r>
        <w:t>Rezidivierende Mitralinsuffizienz nach TEER erhöht Sterblichkeit um 43 %</w:t>
      </w:r>
    </w:p>
    <w:p>
      <w:r>
        <w:rPr>
          <w:i/>
          <w:color w:val="666666"/>
          <w:sz w:val="18"/>
        </w:rPr>
        <w:t>Pauschinger C et al.  ·  JACC Cardiovasc Interv  ·  26.10.2026  ·  PMID 42933917</w:t>
      </w:r>
    </w:p>
    <w:p>
      <w:r>
        <w:t>Deutsche retrospektive Kohortenstudie mit 461 Patienten nach erfolgreicher M-TEER, Nachverfolgung auf rezidivierende Mitralregurgitation (≥1-Grad-Zunahme) und Mortalität über mediane 3,44 Jahre.</w:t>
      </w:r>
    </w:p>
    <w:p>
      <w:r>
        <w:rPr>
          <w:b/>
        </w:rPr>
        <w:t xml:space="preserve">Ergebnis: </w:t>
      </w:r>
      <w:r>
        <w:t>Rezidivierende Mitralregurgitation trat bei 31,7 % auf (104/326 funktional, 42/135 degenerativ). 4-Jahres-Mortalität ohne Rezidiv 44,8 % vs. mit Rezidiv 56,3 % (HR 1,43; 95%-KI 1,06–1,93; p=0,019). Effekt signifikant bei degenerativer (p=0,014), nicht bei funktionaler Mitralregurgitation (p=0,11).</w:t>
      </w:r>
    </w:p>
    <w:p>
      <w:r>
        <w:rPr>
          <w:b/>
          <w:sz w:val="19"/>
        </w:rPr>
        <w:t xml:space="preserve">Übertragbarkeit: </w:t>
      </w:r>
      <w:r>
        <w:rPr>
          <w:sz w:val="19"/>
        </w:rPr>
        <w:t>Deutsche Universitätsklinik Hamburg mit vollständiger Dokumentation, direkt auf deutsche Praxis übertragbar.</w:t>
      </w:r>
    </w:p>
    <w:p>
      <w:r>
        <w:rPr>
          <w:color w:val="5A7D3A"/>
          <w:sz w:val="18"/>
        </w:rPr>
        <w:t>https://pubmed.ncbi.nlm.nih.gov/42933917/</w:t>
      </w:r>
    </w:p>
    <w:p>
      <w:pPr>
        <w:pStyle w:val="Heading2"/>
      </w:pPr>
      <w:r>
        <w:t>Myeloide Zellrekrutierung verbindet Herzinsuffizienz mit sekundärer pulmonaler Hypertonie</w:t>
      </w:r>
    </w:p>
    <w:p>
      <w:r>
        <w:rPr>
          <w:i/>
          <w:color w:val="666666"/>
          <w:sz w:val="18"/>
        </w:rPr>
        <w:t>Gillan JL et al.  ·  Circ Res  ·  26.10.2026  ·  PMID 42929140</w:t>
      </w:r>
    </w:p>
    <w:p>
      <w:r>
        <w:t>Tiermodell-gestützte mechanistische Studie (Maus, Ratte) mit CCR2-Antagonist-Intervention: Nachweis, dass Monozyten-Rekrutierung nach Infarkt systemische pulmonale Gefäßumwandlung und rechtsventrikuläre Dysfunktion treibt; Validierung in menschlichen Lungenproben von PAH- und PH-LHD-Patienten.</w:t>
      </w:r>
    </w:p>
    <w:p>
      <w:r>
        <w:rPr>
          <w:b/>
        </w:rPr>
        <w:t xml:space="preserve">Ergebnis: </w:t>
      </w:r>
      <w:r>
        <w:t>CCR2-Antagonist RS102895 ab Tag 10 post-MI in Mäusen reduzierte Lungenvaskulatur-Umwandlung, RV-Druck (systolisch und diastolisch) und RV-Hypertrophie bei 6 Wochen vs. Kontrolle, ohne linksventrikuläre Herzinsuffizienz zu verbessern. Entzündliche Adhäsionsmoleküle (VCAM1, SELE) in PH-LHD-Lungengewebe erhöht.</w:t>
      </w:r>
    </w:p>
    <w:p>
      <w:r>
        <w:rPr>
          <w:b/>
          <w:sz w:val="19"/>
        </w:rPr>
        <w:t xml:space="preserve">Übertragbarkeit: </w:t>
      </w:r>
      <w:r>
        <w:rPr>
          <w:sz w:val="19"/>
        </w:rPr>
        <w:t>Grundlagenarbeit mit klarem klinischem Weg (CCR2-Antagonisten als therapeutisches Ziel) an deutschen kardiologischen und pneumologischen Zentren relevant.</w:t>
      </w:r>
    </w:p>
    <w:p>
      <w:r>
        <w:rPr>
          <w:color w:val="5A7D3A"/>
          <w:sz w:val="18"/>
        </w:rPr>
        <w:t>https://pubmed.ncbi.nlm.nih.gov/42929140/</w:t>
      </w:r>
    </w:p>
    <w:p>
      <w:pPr>
        <w:pStyle w:val="Heading1"/>
      </w:pPr>
      <w:r>
        <w:t>Aufgenommen am 27.10.2026</w:t>
      </w:r>
    </w:p>
    <w:p>
      <w:pPr>
        <w:pStyle w:val="Heading2"/>
      </w:pPr>
      <w:r>
        <w:t>Pulmonale Hypertonie nach Mitral-TEER: Normalisierung senkt Risiko, Persistenz erhöht es deutlich</w:t>
      </w:r>
    </w:p>
    <w:p>
      <w:r>
        <w:rPr>
          <w:i/>
          <w:color w:val="666666"/>
          <w:sz w:val="18"/>
        </w:rPr>
        <w:t>Miyamoto J et al.  ·  JACC Cardiovasc Interv  ·  26.10.2026  ·  PMID 42933915</w:t>
      </w:r>
    </w:p>
    <w:p>
      <w:r>
        <w:t>In 3.484 Patienten mit schwerer Mitralinsuffizienz wurde untersucht, wie sich periprozedural gemessene Veränderungen der pulmonalen Hypertonie nach transkatheter Mitralklappenreparatur auf Sterblichkeit und Herzinsuffizienz-Hospitalisierungen auswirken.</w:t>
      </w:r>
    </w:p>
    <w:p>
      <w:r>
        <w:rPr>
          <w:b/>
        </w:rPr>
        <w:t xml:space="preserve">Ergebnis: </w:t>
      </w:r>
      <w:r>
        <w:t>Nach 2 Jahren betrug die Inzidenz kardiovaskulärer Tod oder HF-Hospitalisierung bei Patienten ohne PH 17,6%, bei normalisierter PH 18,1%, bei neu aufgetretener PH 27,2% und bei persistierender PH 27,6% (p&lt;0,001). Normalisierte PH zeigte vergleichbare Outcomes wie keine PH (adj. HR 0,98; 95%-KI 0,78-1,24). Residuale und neu aufgetretene PH waren unabhängig mit schlechteren Ergebnissen assoziiert (HR 1,37 bzw. 1,46).</w:t>
      </w:r>
    </w:p>
    <w:p>
      <w:r>
        <w:rPr>
          <w:b/>
          <w:sz w:val="19"/>
        </w:rPr>
        <w:t xml:space="preserve">Übertragbarkeit: </w:t>
      </w:r>
      <w:r>
        <w:rPr>
          <w:sz w:val="19"/>
        </w:rPr>
        <w:t>Japan, OCEAN-Mitral-Registry mit vergleichbarem Gesundheitssystem und Dokumentationsstandard.</w:t>
      </w:r>
    </w:p>
    <w:p>
      <w:r>
        <w:rPr>
          <w:color w:val="5A7D3A"/>
          <w:sz w:val="18"/>
        </w:rPr>
        <w:t>https://pubmed.ncbi.nlm.nih.gov/42933915/</w:t>
      </w:r>
    </w:p>
    <w:p>
      <w:pPr>
        <w:pStyle w:val="Heading2"/>
      </w:pPr>
      <w:r>
        <w:t>Laser-basierte intravaskuläre Lithotripsie bei Koronarkalk: 93,7% Erfolgsrate, MACE 6,7%</w:t>
      </w:r>
    </w:p>
    <w:p>
      <w:r>
        <w:rPr>
          <w:i/>
          <w:color w:val="666666"/>
          <w:sz w:val="18"/>
        </w:rPr>
        <w:t>McEntegart M et al.  ·  JACC Cardiovasc Interv  ·  26.10.2026  ·  PMID 42933913</w:t>
      </w:r>
    </w:p>
    <w:p>
      <w:r>
        <w:t>420 Patienten mit schwer verkalkten de-novo-Koronarlasionen wurden mit einem neuen Quad-Emitter-IVL-System behandelt; primäre Endpunkte waren 30-Tage-Freiheit von MACE (Sicherheit) und Prozedurserfolg (Stentimplantation mit &lt;50% residualer Stenose).</w:t>
      </w:r>
    </w:p>
    <w:p>
      <w:r>
        <w:rPr>
          <w:b/>
        </w:rPr>
        <w:t xml:space="preserve">Ergebnis: </w:t>
      </w:r>
      <w:r>
        <w:t>30-Tage-MACE-Freiheit 93,3% (95%-KI untere Grenze 90,8%, überschreitet Performance-Ziel von 86,2%; p&lt;0,0001). Prozedurserfolg 93,7% (95%-KI untere Grenze 91,3%, überschreitet Ziel von 85,8%; p&lt;0,0001). OCT bestätigte Kalkfrakturen in 67% der Läsionen; mediane Stent-Expansion 94,2% ± 19,4% an Maximalverkalkung.</w:t>
      </w:r>
    </w:p>
    <w:p>
      <w:r>
        <w:rPr>
          <w:b/>
          <w:sz w:val="19"/>
        </w:rPr>
        <w:t xml:space="preserve">Übertragbarkeit: </w:t>
      </w:r>
      <w:r>
        <w:rPr>
          <w:sz w:val="19"/>
        </w:rPr>
        <w:t>Internationale multizentrische Studie, Gerätetechnik übertragbar, Verfahren in Deutschland noch nicht routinemäßig verfügbar.</w:t>
      </w:r>
    </w:p>
    <w:p>
      <w:r>
        <w:rPr>
          <w:color w:val="5A7D3A"/>
          <w:sz w:val="18"/>
        </w:rPr>
        <w:t>https://pubmed.ncbi.nlm.nih.gov/42933913/</w:t>
      </w:r>
    </w:p>
    <w:p>
      <w:pPr>
        <w:pStyle w:val="Heading2"/>
      </w:pPr>
      <w:r>
        <w:t>TTR-Amyloidose: Therapiebenefit hängt vom Erkrankungsstadium ab – frühe Intervention günstiger</w:t>
      </w:r>
    </w:p>
    <w:p>
      <w:r>
        <w:rPr>
          <w:i/>
          <w:color w:val="666666"/>
          <w:sz w:val="18"/>
        </w:rPr>
        <w:t>Nabeshima Y et al.  ·  Open Heart  ·  26.10.2026  ·  PMID 42933877</w:t>
      </w:r>
    </w:p>
    <w:p>
      <w:r>
        <w:t>Retrospektive Analyse zur zeitabhängigen Effektivität von Therapien (Stabilisatoren, Antisense-Oligonukleotide) bei Transthyretin-Amyloid-Kardiomyopathie in Abhängigkeit vom Erkrankungsstadium bei Therapiebeginn.</w:t>
      </w:r>
    </w:p>
    <w:p>
      <w:r>
        <w:rPr>
          <w:b/>
        </w:rPr>
        <w:t xml:space="preserve">Ergebnis: </w:t>
      </w:r>
      <w:r>
        <w:t>Der relative und absolute Therapiebenefit war stadiumabhängig: Frühes Stadium zeigte größeren Nutzen als späte Stadien; frühe Intervention führte zu besseren funktionellen Outcomes und reduzierter Progression. Quantitativ berichtete die Studie, dass Patienten im frühen Stadium eine höhere Wahrscheinlichkeit für funktionelle Verbesserung hatten als jene mit fortgeschrittener Erkrankung.</w:t>
      </w:r>
    </w:p>
    <w:p>
      <w:r>
        <w:rPr>
          <w:b/>
          <w:sz w:val="19"/>
        </w:rPr>
        <w:t xml:space="preserve">Übertragbarkeit: </w:t>
      </w:r>
      <w:r>
        <w:rPr>
          <w:sz w:val="19"/>
        </w:rPr>
        <w:t>Japan, vergleichbare Epidemiologie und Versorgungsstruktur; unterstreicht Bedeutung frühzeitiger Diagnostik in Deutschland.</w:t>
      </w:r>
    </w:p>
    <w:p>
      <w:r>
        <w:rPr>
          <w:color w:val="5A7D3A"/>
          <w:sz w:val="18"/>
        </w:rPr>
        <w:t>https://pubmed.ncbi.nlm.nih.gov/42933877/</w:t>
      </w:r>
    </w:p>
    <w:p>
      <w:pPr>
        <w:pStyle w:val="Heading2"/>
      </w:pPr>
      <w:r>
        <w:t>Activin-A-Blockade bei HFpEF mit pulmonaler Hypertonie: Sotatercept senkt Wedge-Druck und LA-Volumen</w:t>
      </w:r>
    </w:p>
    <w:p>
      <w:r>
        <w:rPr>
          <w:i/>
          <w:color w:val="666666"/>
          <w:sz w:val="18"/>
        </w:rPr>
        <w:t>Packer M et al.  ·  Circulation  ·  27.10.2026  ·  PMID 42932419</w:t>
      </w:r>
    </w:p>
    <w:p>
      <w:r>
        <w:t>Mechanistische Analyse, wie Activin-A-Signaling über epicardiales Fettgewebe bei HFpEF mit kombiniert postcapillärer und precapillärer pulmonaler Hypertonie (CpcPH) wirkt und wie der Activin-Type-II-Rezeptor-Ligand-Trap Sotatercept diese Pathologie beeinflusst.</w:t>
      </w:r>
    </w:p>
    <w:p>
      <w:r>
        <w:rPr>
          <w:b/>
        </w:rPr>
        <w:t xml:space="preserve">Ergebnis: </w:t>
      </w:r>
      <w:r>
        <w:t>Die CADENCE-Studie zeigte, dass Sotatercept bei CpcPH-HFpEF sowohl pulmonalarterielle Verschlussdruck als auch LA-Volumen-Index senkte – Effekte, die nicht allein durch Reduktion des pulmonalvaskulären Widerstands erklärbar sind. Experimentelle Daten bestätigen, dass Activin-A-Blockade LA- und Lungenvenenfibrose reduziert und venöse Remodellierung attenuiert.</w:t>
      </w:r>
    </w:p>
    <w:p>
      <w:r>
        <w:rPr>
          <w:b/>
          <w:sz w:val="19"/>
        </w:rPr>
        <w:t xml:space="preserve">Übertragbarkeit: </w:t>
      </w:r>
      <w:r>
        <w:rPr>
          <w:sz w:val="19"/>
        </w:rPr>
        <w:t>Praxisrelevante Grundlagensynthese für Phase-III-Outcomes-Studie, Mechanismus und klinischer Nutzen beschrieben.</w:t>
      </w:r>
    </w:p>
    <w:p>
      <w:r>
        <w:rPr>
          <w:color w:val="5A7D3A"/>
          <w:sz w:val="18"/>
        </w:rPr>
        <w:t>https://pubmed.ncbi.nlm.nih.gov/42932419/</w:t>
      </w:r>
    </w:p>
    <w:p>
      <w:pPr>
        <w:pStyle w:val="Heading2"/>
      </w:pPr>
      <w:r>
        <w:t>Nichtobstruktive HCM: Kardiale Myosin-Inhibitoren zeigen Struktureffekte, SGLT2i Funktionsbesserung</w:t>
      </w:r>
    </w:p>
    <w:p>
      <w:r>
        <w:rPr>
          <w:i/>
          <w:color w:val="666666"/>
          <w:sz w:val="18"/>
        </w:rPr>
        <w:t>Patel S et al.  ·  J Am Heart Assoc  ·  23.10.2026  ·  PMID 42924841</w:t>
      </w:r>
    </w:p>
    <w:p>
      <w:r>
        <w:t>Systematischer Review von 29 klinischen Studien (9 Wirkstoffklassen) zu pharmakologischen Therapien bei nichtobstruktiver HCM: Kardiale Myosin-Inhibitoren, metabolische Modulatoren, ARB, ARNI, MRA, SGLT2i, Beta-Blocker, Ca-Blocker und andere.</w:t>
      </w:r>
    </w:p>
    <w:p>
      <w:r>
        <w:rPr>
          <w:b/>
        </w:rPr>
        <w:t xml:space="preserve">Ergebnis: </w:t>
      </w:r>
      <w:r>
        <w:t>Kardiale Myosin-Inhibitoren reduzierten LV-Hypertrophie und verbesserten diastolische Funktion mit markanten Biomarker-Reduktionen, aber variable Verbesserung der Belastungskapazität. SGLT2-Inhibition zeigte konsistente Verbesserungen von diastolischer Funktion, Vorhofumbau, Biomarkern und funktionellem Status bei symptomatischer nichtobstruktiver HCM mit Diabetes. Ninerafaxstat verbesserte Ventilationseffizienz und Lebensqualität bei höherem Symptomenlast.</w:t>
      </w:r>
    </w:p>
    <w:p>
      <w:r>
        <w:rPr>
          <w:b/>
          <w:sz w:val="19"/>
        </w:rPr>
        <w:t xml:space="preserve">Übertragbarkeit: </w:t>
      </w:r>
      <w:r>
        <w:rPr>
          <w:sz w:val="19"/>
        </w:rPr>
        <w:t>USA und multizentrisch; Mechanismus- und Stagefestigkeit untersucht, Therapiereaktion variabel.</w:t>
      </w:r>
    </w:p>
    <w:p>
      <w:r>
        <w:rPr>
          <w:color w:val="5A7D3A"/>
          <w:sz w:val="18"/>
        </w:rPr>
        <w:t>https://pubmed.ncbi.nlm.nih.gov/42924841/</w:t>
      </w:r>
    </w:p>
    <w:p>
      <w:pPr>
        <w:pStyle w:val="Heading2"/>
      </w:pPr>
      <w:r>
        <w:t>KI bei Herzinfarkt-Diagnostik: AUC 0,97 für AMI, 0,96 für STEMI, 0,97 für NSTEMI</w:t>
      </w:r>
    </w:p>
    <w:p>
      <w:r>
        <w:rPr>
          <w:i/>
          <w:color w:val="666666"/>
          <w:sz w:val="18"/>
        </w:rPr>
        <w:t>Giacobbe F et al.  ·  Cardiovasc Res  ·  23.10.2026  ·  PMID 42922432</w:t>
      </w:r>
    </w:p>
    <w:p>
      <w:r>
        <w:t>Systematischer Review und Metaanalyse von 24 Studien (27 KI-Algorithmen, 166.052 Patienten) zur diagnostischen Genauigkeit von Machine-Learning- und Deep-Learning-Modellen für akuten Myokardinfarkt basierend auf EKG und/oder Troponin.</w:t>
      </w:r>
    </w:p>
    <w:p>
      <w:r>
        <w:rPr>
          <w:b/>
        </w:rPr>
        <w:t xml:space="preserve">Ergebnis: </w:t>
      </w:r>
      <w:r>
        <w:t>KI-Algorithmen erreichten für AMI-Diagnose AUC 0,97 (Sensitivität 0,93, Spezifität 0,92). STEMI-Diagnose: AUC 0,96 (Sensitivität 0,91, Spezifität 0,94). NSTEMI: AUC 0,97 (Sensitivität 0,95, Spezifität 0,90). Keine signifikante Differenz zwischen KI-Typen. EKG-basierte Modelle waren weniger sensitiv, Troponin-basierte weniger spezifisch als kombinierte Ansätze.</w:t>
      </w:r>
    </w:p>
    <w:p>
      <w:r>
        <w:rPr>
          <w:b/>
          <w:sz w:val="19"/>
        </w:rPr>
        <w:t xml:space="preserve">Übertragbarkeit: </w:t>
      </w:r>
      <w:r>
        <w:rPr>
          <w:sz w:val="19"/>
        </w:rPr>
        <w:t>Multizentrisch europäisch-international; Benchmarking gegen ESC 0/1-h-Algorithmus dokumentiert.</w:t>
      </w:r>
    </w:p>
    <w:p>
      <w:r>
        <w:rPr>
          <w:color w:val="5A7D3A"/>
          <w:sz w:val="18"/>
        </w:rPr>
        <w:t>https://pubmed.ncbi.nlm.nih.gov/42922432/</w:t>
      </w:r>
    </w:p>
    <w:p>
      <w:pPr>
        <w:pStyle w:val="Heading2"/>
      </w:pPr>
      <w:r>
        <w:t>FIB-4-Index vor Herztransplantation: Mortalitätsvorhersage besser als klassische Risikofaktoren</w:t>
      </w:r>
    </w:p>
    <w:p>
      <w:r>
        <w:rPr>
          <w:i/>
          <w:color w:val="666666"/>
          <w:sz w:val="18"/>
        </w:rPr>
        <w:t>Lai J et al.  ·  ESC Heart Fail  ·  27.08.2026  ·  PMID 42921753</w:t>
      </w:r>
    </w:p>
    <w:p>
      <w:r>
        <w:t>Retrospektive Kohortenstudie mit 791 Patienten zur prognostischen Aussagekraft des präoperativen FIB-4-Index und seiner dynamischen Veränderungen vor orthotoper Herztransplantation auf Sterblichkeit im Follow-up bis Juni 2025.</w:t>
      </w:r>
    </w:p>
    <w:p>
      <w:r>
        <w:rPr>
          <w:b/>
        </w:rPr>
        <w:t xml:space="preserve">Ergebnis: </w:t>
      </w:r>
      <w:r>
        <w:t>Bei medianer Nachverfolgung von 28,8 Monaten starben 218 Patienten (27,6%). FIB-4 zeigte nicht-lineare Assoziation mit Mortalität (Inflexionspunkt 2,03) und war unabhängiger Prädiktor (HR pro Unit-Anstieg 1,04; 95%-KI 1,02–1,07; p&lt;0,001). Im Random-Survival-Forest-Modell war FIB-4 die wichtigste prognostische Variable (Variable Importance 0,068), überlegen gegenüber Donor- und chirurgischen Faktoren. Präoperative FIB-4-Verbesserung bei Hochrisikopatienten assoziiert mit signifikant niedrigerer Mortalität (adj. HR 0,49; 95%-KI 0,29–0,82; p=0,007).</w:t>
      </w:r>
    </w:p>
    <w:p>
      <w:r>
        <w:rPr>
          <w:b/>
          <w:sz w:val="19"/>
        </w:rPr>
        <w:t xml:space="preserve">Übertragbarkeit: </w:t>
      </w:r>
      <w:r>
        <w:rPr>
          <w:sz w:val="19"/>
        </w:rPr>
        <w:t>China, Herztransplantationszentrum; Konzept übertragbar auf deutsche HTx-Zentren.</w:t>
      </w:r>
    </w:p>
    <w:p>
      <w:r>
        <w:rPr>
          <w:color w:val="5A7D3A"/>
          <w:sz w:val="18"/>
        </w:rPr>
        <w:t>https://pubmed.ncbi.nlm.nih.gov/42921753/</w:t>
      </w:r>
    </w:p>
    <w:p>
      <w:pPr>
        <w:pStyle w:val="Heading1"/>
      </w:pPr>
      <w:r>
        <w:t>Aufgenommen am 26.10.2026</w:t>
      </w:r>
    </w:p>
    <w:p>
      <w:pPr>
        <w:pStyle w:val="Heading2"/>
      </w:pPr>
      <w:r>
        <w:t>Gestaffelte Revaskularisierung bessere Strategie für ST-Infarkt über 70 Jahren</w:t>
      </w:r>
    </w:p>
    <w:p>
      <w:r>
        <w:rPr>
          <w:i/>
          <w:color w:val="666666"/>
          <w:sz w:val="18"/>
        </w:rPr>
        <w:t>Cho KH et al.  ·  JACC Cardiovasc Interv  ·  22.10.2026  ·  PMID 42925297</w:t>
      </w:r>
    </w:p>
    <w:p>
      <w:r>
        <w:t>Sekundäranalyse der OPTION-STEMI-Studie mit 994 Patienten: Vergleich von sofortiger versus gestaffelter Revaskularisierung im Krankenhaus bei älteren Patienten mit ST-Hebungsinfarkt und Multigefäßerkrankung.</w:t>
      </w:r>
    </w:p>
    <w:p>
      <w:r>
        <w:rPr>
          <w:b/>
        </w:rPr>
        <w:t xml:space="preserve">Ergebnis: </w:t>
      </w:r>
      <w:r>
        <w:t>Bei Patienten ≥70 Jahren: sofortige Revaskularisierung führte zu höherer Rate des primären Endpunkts (all-cause death, nonfatal MI, oder ungeplante Revaskularisierung) mit HR 1,68 (95%-KI 1,06–2,69; p=0,029) gegenüber gestaffelter Strategie. Bei Patienten &lt;70 Jahren kein Unterschied (HR 0,80; p=0,470). Diese Interaktion deutet darauf hin, dass ältere Patienten von gestaffelter Revaskularisierung profitieren.</w:t>
      </w:r>
    </w:p>
    <w:p>
      <w:r>
        <w:rPr>
          <w:b/>
          <w:sz w:val="19"/>
        </w:rPr>
        <w:t xml:space="preserve">Übertragbarkeit: </w:t>
      </w:r>
      <w:r>
        <w:rPr>
          <w:sz w:val="19"/>
        </w:rPr>
        <w:t>Südkorea, vergleichbar mit europäischen Leitlinien zu STEMI-Management</w:t>
      </w:r>
    </w:p>
    <w:p>
      <w:r>
        <w:rPr>
          <w:color w:val="5A7D3A"/>
          <w:sz w:val="18"/>
        </w:rPr>
        <w:t>https://pubmed.ncbi.nlm.nih.gov/42925297/</w:t>
      </w:r>
    </w:p>
    <w:p>
      <w:pPr>
        <w:pStyle w:val="Heading2"/>
      </w:pPr>
      <w:r>
        <w:t>Pulsed-Field-Ablation: Same-Day-Discharge möglich mit guter Sicherheit</w:t>
      </w:r>
    </w:p>
    <w:p>
      <w:r>
        <w:rPr>
          <w:i/>
          <w:color w:val="666666"/>
          <w:sz w:val="18"/>
        </w:rPr>
        <w:t>Ha FJ et al.  ·  Europace  ·  23.10.2026  ·  PMID 42921970</w:t>
      </w:r>
    </w:p>
    <w:p>
      <w:r>
        <w:t>Multizentrische Analyse von 240 Patienten mit Vorhofflimmern, die nach Pulsed-Field-Ablation (PFA) am selben Tag entlassen wurden; Erfassung von Sicherheit, Effektivität und Kostenaspekten in der SENTINEL Registry.</w:t>
      </w:r>
    </w:p>
    <w:p>
      <w:r>
        <w:rPr>
          <w:b/>
        </w:rPr>
        <w:t xml:space="preserve">Ergebnis: </w:t>
      </w:r>
      <w:r>
        <w:t>Same-Day-Discharge nach PFA war durchführbar mit niedriger Komplikationsrate. Verfahren zeigte gutes Sicherheitsprofil und ermöglichte Kosteneffizienz durch Einsparung von stationären Übernachtungen im Vergleich zu konventioneller thermischer Ablation.</w:t>
      </w:r>
    </w:p>
    <w:p>
      <w:r>
        <w:rPr>
          <w:b/>
          <w:sz w:val="19"/>
        </w:rPr>
        <w:t xml:space="preserve">Übertragbarkeit: </w:t>
      </w:r>
      <w:r>
        <w:rPr>
          <w:sz w:val="19"/>
        </w:rPr>
        <w:t>Australien, Neuseeland, mit europäischen Zentren beteiligt; übertragbar auf deutsche Struktur für Rhythmologie</w:t>
      </w:r>
    </w:p>
    <w:p>
      <w:r>
        <w:rPr>
          <w:color w:val="5A7D3A"/>
          <w:sz w:val="18"/>
        </w:rPr>
        <w:t>https://pubmed.ncbi.nlm.nih.gov/42921970/</w:t>
      </w:r>
    </w:p>
    <w:p>
      <w:pPr>
        <w:pStyle w:val="Heading2"/>
      </w:pPr>
      <w:r>
        <w:t>Telemedizin-gestützte AF-Versorgung auf dem Land: Trend zu weniger Ereignissen</w:t>
      </w:r>
    </w:p>
    <w:p>
      <w:r>
        <w:rPr>
          <w:i/>
          <w:color w:val="666666"/>
          <w:sz w:val="18"/>
        </w:rPr>
        <w:t>Liu W et al.  ·  Heart Rhythm  ·  22.10.2026  ·  PMID 42913979</w:t>
      </w:r>
    </w:p>
    <w:p>
      <w:r>
        <w:t>Sekundäranalyse der MIRACLE-AF-Studie mit 1039 älteren Patienten auf dem Land (≥65 Jahre, durchschn. 75,8 J.) über 36 Monate: Effekt eines dorfarztzentrierten Telemedizin-basierten integrierten Versorgungsmodells versus Standard-Nachsorge auf rezidivierende kardiovaskuläre Ereignisse bei Vorhofflimmern.</w:t>
      </w:r>
    </w:p>
    <w:p>
      <w:r>
        <w:rPr>
          <w:b/>
        </w:rPr>
        <w:t xml:space="preserve">Ergebnis: </w:t>
      </w:r>
      <w:r>
        <w:t>Intervention: 118 Ereignisse in 82 Patienten (15,65 %) versus Kontrolle 173 Ereignisse in 122 Patienten (23,69 %). Ereignisrate 6,75 versus 9,11 pro 100 Patientenjahre. HR 0,76 (95%-KI 0,583–1,004; p=0,053) – trend zu Vorteil, aber statistische Signifikanz nicht erreicht. Konsistente Favorisierung der Intervention über alle Ereignistypen.</w:t>
      </w:r>
    </w:p>
    <w:p>
      <w:r>
        <w:rPr>
          <w:b/>
          <w:sz w:val="19"/>
        </w:rPr>
        <w:t xml:space="preserve">Übertragbarkeit: </w:t>
      </w:r>
      <w:r>
        <w:rPr>
          <w:sz w:val="19"/>
        </w:rPr>
        <w:t>China, ländliche Versorgungsstruktur; Modell auf deutsche Land- und Hausarztpraxen mit Telemedizin übertragbar</w:t>
      </w:r>
    </w:p>
    <w:p>
      <w:r>
        <w:rPr>
          <w:color w:val="5A7D3A"/>
          <w:sz w:val="18"/>
        </w:rPr>
        <w:t>https://pubmed.ncbi.nlm.nih.gov/42913979/</w:t>
      </w:r>
    </w:p>
    <w:p>
      <w:pPr>
        <w:pStyle w:val="Heading2"/>
      </w:pPr>
      <w:r>
        <w:t>Trainingsblutdruck zur Fitness normalisiert Prognose bei Verdacht auf KHK</w:t>
      </w:r>
    </w:p>
    <w:p>
      <w:r>
        <w:rPr>
          <w:i/>
          <w:color w:val="666666"/>
          <w:sz w:val="18"/>
        </w:rPr>
        <w:t>Takafuji M et al.  ·  Open Heart  ·  21.10.2026  ·  PMID 42906952</w:t>
      </w:r>
    </w:p>
    <w:p>
      <w:r>
        <w:t>Prospektive Analyse von 530 Patienten aus der CE-MARC-Studie mit Belastungstestung, invasiver Koronarangiographie und kardiovaskulärem Magnetresonanzimaging; Beziehung zwischen systolischem Blutdruck während Belastung indexiert auf Fitness (SBP/METpeak) und koronarer Erkrankung.</w:t>
      </w:r>
    </w:p>
    <w:p>
      <w:r>
        <w:rPr>
          <w:b/>
        </w:rPr>
        <w:t xml:space="preserve">Ergebnis: </w:t>
      </w:r>
      <w:r>
        <w:t>Ein SBP/METpeak ≥18 mm Hg/METs war bei 58,5 % der Patienten vorhanden und war mit myokardialer Ischämie, Narbe und MACE assoziiert (adjustierte HR 1,02 pro Einheit; 95%-KI 1,00–1,03; p=0,012). Der Effekt wurde hauptsächlich durch geringere Belastungskapazität anstelle von erhöhtem Spitzenblutdruck getrieben.</w:t>
      </w:r>
    </w:p>
    <w:p>
      <w:r>
        <w:rPr>
          <w:b/>
          <w:sz w:val="19"/>
        </w:rPr>
        <w:t xml:space="preserve">Übertragbarkeit: </w:t>
      </w:r>
      <w:r>
        <w:rPr>
          <w:sz w:val="19"/>
        </w:rPr>
        <w:t>Großbritannien, deutsche Leitlinien unterscheiden Belastungsblutdruck nach Fitness; Marker erfordert externe Validierung</w:t>
      </w:r>
    </w:p>
    <w:p>
      <w:r>
        <w:rPr>
          <w:color w:val="5A7D3A"/>
          <w:sz w:val="18"/>
        </w:rPr>
        <w:t>https://pubmed.ncbi.nlm.nih.gov/42906952/</w:t>
      </w:r>
    </w:p>
    <w:p>
      <w:pPr>
        <w:pStyle w:val="Heading2"/>
      </w:pPr>
      <w:r>
        <w:t>MASLD bei Herzinsuffizienz: jung, weiblich, bessere Prognose</w:t>
      </w:r>
    </w:p>
    <w:p>
      <w:r>
        <w:rPr>
          <w:i/>
          <w:color w:val="666666"/>
          <w:sz w:val="18"/>
        </w:rPr>
        <w:t>Chew NW et al.  ·  Open Heart  ·  21.10.2026  ·  PMID 42906951</w:t>
      </w:r>
    </w:p>
    <w:p>
      <w:r>
        <w:t>Registerstudie (ASIAN-HF, CDARS, BIOSTAT-CHF) mit insgesamt über 2000 Patienten zur Prävalenz und klinischen Korrelaten metabolischer Funktionsstörung-assoziierter steatotischer Lebererkrankung (MASLD) in der Herzinsuffizienz-Population.</w:t>
      </w:r>
    </w:p>
    <w:p>
      <w:r>
        <w:rPr>
          <w:b/>
        </w:rPr>
        <w:t xml:space="preserve">Ergebnis: </w:t>
      </w:r>
      <w:r>
        <w:t>In ASIAN-HF: 34,4 % (927/2698) der HF-Patienten hatten MASLD. MASLD-Patienten waren jünger, häufiger weiblich, häufiger mit HFpEF. All-cause mortality war niedriger mit MASLD (7,1 vs. 11,7 %; p=0,001; adjustierte HR 0,58, 95%-KI 0,39–0,86). Befund blieb in CDARS bestätigt.</w:t>
      </w:r>
    </w:p>
    <w:p>
      <w:r>
        <w:rPr>
          <w:b/>
          <w:sz w:val="19"/>
        </w:rPr>
        <w:t xml:space="preserve">Übertragbarkeit: </w:t>
      </w:r>
      <w:r>
        <w:rPr>
          <w:sz w:val="19"/>
        </w:rPr>
        <w:t>Asien, Hongkong, Europa; metabolisches Phänotypisieren wird relevant für HF-Phänotypen, auch in Deutschland zutreffend</w:t>
      </w:r>
    </w:p>
    <w:p>
      <w:r>
        <w:rPr>
          <w:color w:val="5A7D3A"/>
          <w:sz w:val="18"/>
        </w:rPr>
        <w:t>https://pubmed.ncbi.nlm.nih.gov/42906951/</w:t>
      </w:r>
    </w:p>
    <w:p>
      <w:pPr>
        <w:pStyle w:val="Heading1"/>
      </w:pPr>
      <w:r>
        <w:t>Aufgenommen am 25.10.2026</w:t>
      </w:r>
    </w:p>
    <w:p>
      <w:pPr>
        <w:pStyle w:val="Heading2"/>
      </w:pPr>
      <w:r>
        <w:t>Long COVID erhöht Bluthochdruck-Risiko um 14 Prozent</w:t>
      </w:r>
    </w:p>
    <w:p>
      <w:r>
        <w:rPr>
          <w:i/>
          <w:color w:val="666666"/>
          <w:sz w:val="18"/>
        </w:rPr>
        <w:t>Lindberg P et al.  ·  J Am Heart Assoc  ·  20.10.2026  ·  PMID 42857992</w:t>
      </w:r>
    </w:p>
    <w:p>
      <w:r>
        <w:t>Schwedische Bevölkerungskohortenstudie (1,22 Mio. Personen ohne Hypertonie) zu Langzeitfolgen nach SARS-CoV-2-Infektion: Long-COVID-Patienten entwickelten innerhalb von 4 Jahren häufiger neu auftretende Hypertonie als nicht-exponierte Personen.</w:t>
      </w:r>
    </w:p>
    <w:p>
      <w:r>
        <w:rPr>
          <w:b/>
        </w:rPr>
        <w:t xml:space="preserve">Ergebnis: </w:t>
      </w:r>
      <w:r>
        <w:t>Long-COVID-Diagnose erhöhte das Hypertonie-Risiko um 14 % gesamtkohort (Hazard Ratio 1,14; 95%-KI 1,09–1,20; p&lt;0,001), bei Frauen um 13 % (HR 1,13; 1,05–1,22; p=0,001) und Männern um 15 % (HR 1,15; 1,05–1,27; p=0,002). Das Risiko stieg früh und persistierte über 36 Monate Nachbeobachtung.</w:t>
      </w:r>
    </w:p>
    <w:p>
      <w:r>
        <w:rPr>
          <w:b/>
          <w:sz w:val="19"/>
        </w:rPr>
        <w:t xml:space="preserve">Übertragbarkeit: </w:t>
      </w:r>
      <w:r>
        <w:rPr>
          <w:sz w:val="19"/>
        </w:rPr>
        <w:t>Schweden, Bevölkerungsregister mit vollständiger Erfassung; Daten übertragbar auf deutsches Sozialversicherungssystem</w:t>
      </w:r>
    </w:p>
    <w:p>
      <w:r>
        <w:rPr>
          <w:color w:val="5A7D3A"/>
          <w:sz w:val="18"/>
        </w:rPr>
        <w:t>https://pubmed.ncbi.nlm.nih.gov/42857992/</w:t>
      </w:r>
    </w:p>
    <w:p>
      <w:pPr>
        <w:pStyle w:val="Heading1"/>
      </w:pPr>
      <w:r>
        <w:t>Aufgenommen am 24.10.2026</w:t>
      </w:r>
    </w:p>
    <w:p>
      <w:pPr>
        <w:pStyle w:val="Heading2"/>
      </w:pPr>
      <w:r>
        <w:t>Pulsed-Field-Ablation bei Vorhofflimmern: 82,5 % Freiheit von Arrhythmien nach 12 Monaten</w:t>
      </w:r>
    </w:p>
    <w:p>
      <w:r>
        <w:rPr>
          <w:i/>
          <w:color w:val="666666"/>
          <w:sz w:val="18"/>
        </w:rPr>
        <w:t>Duytschaever M et al.  ·  Heart Rhythm  ·  22.10.2026  ·  PMID 42913987</w:t>
      </w:r>
    </w:p>
    <w:p>
      <w:r>
        <w:t>Prospektive Studie mit 136 Patienten zur Pulmonalen-Venen-Isolierung mittels Pulsed-Field-Ablation (PFA) mit Kontaktkraft-Sensing und 3D-Mapping.</w:t>
      </w:r>
    </w:p>
    <w:p>
      <w:r>
        <w:rPr>
          <w:b/>
        </w:rPr>
        <w:t xml:space="preserve">Ergebnis: </w:t>
      </w:r>
      <w:r>
        <w:t>82,5 % der Patienten waren nach 12 Monaten frei von dokumentierten symptomatischen/asymptomatischen Vorhofflimmern; kardiovaskuläre Hospitalisierungen sanken um 40,9 %, Antiarrhythmika-Nutzung um 49,3 %. Ernsthaft durch Gerät/Prozedur bedingte Komplikationen traten in 2,9 % auf. Die PFA zeigte Sicherheit und Versorgungsvorteil.</w:t>
      </w:r>
    </w:p>
    <w:p>
      <w:r>
        <w:rPr>
          <w:b/>
          <w:sz w:val="19"/>
        </w:rPr>
        <w:t xml:space="preserve">Übertragbarkeit: </w:t>
      </w:r>
      <w:r>
        <w:rPr>
          <w:sz w:val="19"/>
        </w:rPr>
        <w:t>Multizentrische europäische Studie, vergleichbar mit deutschen Ablationszentren.</w:t>
      </w:r>
    </w:p>
    <w:p>
      <w:r>
        <w:rPr>
          <w:color w:val="5A7D3A"/>
          <w:sz w:val="18"/>
        </w:rPr>
        <w:t>https://pubmed.ncbi.nlm.nih.gov/42913987/</w:t>
      </w:r>
    </w:p>
    <w:p>
      <w:pPr>
        <w:pStyle w:val="Heading2"/>
      </w:pPr>
      <w:r>
        <w:t>Katheter-Ablation vs. Schein-Ablation bei Vorhofflimmern: Meta-Analyse mit 468 Patienten</w:t>
      </w:r>
    </w:p>
    <w:p>
      <w:r>
        <w:rPr>
          <w:i/>
          <w:color w:val="666666"/>
          <w:sz w:val="18"/>
        </w:rPr>
        <w:t>Kakarla S et al.  ·  Heart Rhythm  ·  22.10.2026  ·  PMID 42913986</w:t>
      </w:r>
    </w:p>
    <w:p>
      <w:r>
        <w:t>Bayesianische Metaanalyse von vier randomisierten Studien zum Vergleich von Katheter-Ablation mit Sham-Kontrolle bei symptomatischem Vorhofflimmern hinsichtlich Lebensqualität und Rezidivrate.</w:t>
      </w:r>
    </w:p>
    <w:p>
      <w:r>
        <w:rPr>
          <w:b/>
        </w:rPr>
        <w:t xml:space="preserve">Ergebnis: </w:t>
      </w:r>
      <w:r>
        <w:t>Ablation verbesserte AFEQT-Score um 13,5 Punkte (95%-Kredibilität 1,6–26,9; Wahrscheinlichkeit klinisch bedeutsam &gt;5 Punkte: 0,94). Ablation reduzierte Vorhofflimmern-Rezidive in allen Studien (gepooltes Risiko-Verhältnis 0,49, 95%-KI 0,17–0,89). Evidenzqualität moderat für Rhythmuskontrolle, niedrig für Lebensqualität.</w:t>
      </w:r>
    </w:p>
    <w:p>
      <w:r>
        <w:rPr>
          <w:b/>
          <w:sz w:val="19"/>
        </w:rPr>
        <w:t xml:space="preserve">Übertragbarkeit: </w:t>
      </w:r>
      <w:r>
        <w:rPr>
          <w:sz w:val="19"/>
        </w:rPr>
        <w:t>Internationale Metaanalyse mit europäischen Zentren; zeigt klinischen Nutzen für Leitlinien.</w:t>
      </w:r>
    </w:p>
    <w:p>
      <w:r>
        <w:rPr>
          <w:color w:val="5A7D3A"/>
          <w:sz w:val="18"/>
        </w:rPr>
        <w:t>https://pubmed.ncbi.nlm.nih.gov/42913986/</w:t>
      </w:r>
    </w:p>
    <w:p>
      <w:pPr>
        <w:pStyle w:val="Heading2"/>
      </w:pPr>
      <w:r>
        <w:t>Kardiale Rehabilitation: 750–1000 MET-min/Woche optimal für VO2-Peak-Verbesserung</w:t>
      </w:r>
    </w:p>
    <w:p>
      <w:r>
        <w:rPr>
          <w:i/>
          <w:color w:val="666666"/>
          <w:sz w:val="18"/>
        </w:rPr>
        <w:t>Zhang W et al.  ·  Eur J Prev Cardiol  ·  23.10.2026  ·  PMID 42913481</w:t>
      </w:r>
    </w:p>
    <w:p>
      <w:r>
        <w:t>Bayesianische Netzwerk-Metaanalyse von 100 RCTs mit 5.353 Patienten zur Dosis-Wirkungs-Beziehung verschiedener Trainingsmodalitäten (Intervall-Aerob, kontinuierlich, Kraft, Mind-Body) auf Sauerstoffaufnahme.</w:t>
      </w:r>
    </w:p>
    <w:p>
      <w:r>
        <w:rPr>
          <w:b/>
        </w:rPr>
        <w:t xml:space="preserve">Ergebnis: </w:t>
      </w:r>
      <w:r>
        <w:t>Dosis-Wirkungs-Kurve folgt Emax-Modell; ED50 ~80–90 MET-min/Woche; 750–1000 MET-min/Woche nähert sich maximaler Wirkung. Rangfolge: Intervall-Aerobtraining (Emax 3,50), Krafttraining (3,66), Kombination (3,49). Empfehlung: Intervall-Aerobtraining oder Kraft für gute Ausdauer, Mind-Body für begrenzte Toleranz.</w:t>
      </w:r>
    </w:p>
    <w:p>
      <w:r>
        <w:rPr>
          <w:b/>
          <w:sz w:val="19"/>
        </w:rPr>
        <w:t xml:space="preserve">Übertragbarkeit: </w:t>
      </w:r>
      <w:r>
        <w:rPr>
          <w:sz w:val="19"/>
        </w:rPr>
        <w:t>Internationale Metaanalyse, Design übertragbar auf deutsche Rehabilitationsprogramme.</w:t>
      </w:r>
    </w:p>
    <w:p>
      <w:r>
        <w:rPr>
          <w:color w:val="5A7D3A"/>
          <w:sz w:val="18"/>
        </w:rPr>
        <w:t>https://pubmed.ncbi.nlm.nih.gov/42913481/</w:t>
      </w:r>
    </w:p>
    <w:p>
      <w:pPr>
        <w:pStyle w:val="Heading2"/>
      </w:pPr>
      <w:r>
        <w:t>REBIRTH-Studie: Bromocriptin bei Peripartum-Kardiomyopathie – 200 Frauen randomisiert</w:t>
      </w:r>
    </w:p>
    <w:p>
      <w:r>
        <w:rPr>
          <w:i/>
          <w:color w:val="666666"/>
          <w:sz w:val="18"/>
        </w:rPr>
        <w:t>Wang T et al.  ·  JACC Heart Fail  ·  21.10.2026  ·  PMID 42911149</w:t>
      </w:r>
    </w:p>
    <w:p>
      <w:r>
        <w:t>Randomisierte Studie mit 200 Frauen mit Peripartum-Kardiomyopathie (LVEF ≤40 % innerhalb 5 Monate postpartal), die Bromocriptin versus Placebo zusätzlich zur Leitlinien-Therapie erhalten; Primärendpunkt LVEF bei 6 Monaten.</w:t>
      </w:r>
    </w:p>
    <w:p>
      <w:r>
        <w:rPr>
          <w:b/>
        </w:rPr>
        <w:t xml:space="preserve">Ergebnis: </w:t>
      </w:r>
      <w:r>
        <w:t>Studie noch laufend, Ergebnisse für 2027 erwartet. Sekundärendpunkte: LVEF 12 Monate, Ereignisfreiheit (Tod, Herztransplantation, LVAD), Hospitaliserungsfreiheit bis 3 Jahre. 50 Frauen in separater Stillkohorte (ausgeschlossen von Randomisierung).</w:t>
      </w:r>
    </w:p>
    <w:p>
      <w:r>
        <w:rPr>
          <w:b/>
          <w:sz w:val="19"/>
        </w:rPr>
        <w:t xml:space="preserve">Übertragbarkeit: </w:t>
      </w:r>
      <w:r>
        <w:rPr>
          <w:sz w:val="19"/>
        </w:rPr>
        <w:t>Nordamerikanische Studie in diverser Population, Therapieprinzipien auf Deutschland übertragbar.</w:t>
      </w:r>
    </w:p>
    <w:p>
      <w:r>
        <w:rPr>
          <w:color w:val="5A7D3A"/>
          <w:sz w:val="18"/>
        </w:rPr>
        <w:t>https://pubmed.ncbi.nlm.nih.gov/42911149/</w:t>
      </w:r>
    </w:p>
    <w:p>
      <w:pPr>
        <w:pStyle w:val="Heading2"/>
      </w:pPr>
      <w:r>
        <w:t>TAVI + koronare Stenose: Physiology-gesteuerte PCI reduziert MACE um 20 %</w:t>
      </w:r>
    </w:p>
    <w:p>
      <w:r>
        <w:rPr>
          <w:i/>
          <w:color w:val="666666"/>
          <w:sz w:val="18"/>
        </w:rPr>
        <w:t>Bujak K et al.  ·  EuroIntervention  ·  19.10.2026  ·  PMID 42910974</w:t>
      </w:r>
    </w:p>
    <w:p>
      <w:r>
        <w:t>Metaanalyse von 5 RCTs (N=1.644) zum Vergleich von Routine-Revaskularisierung vs. konservativer Behandlung bei koronarer Erkrankung vor/während TAVI; Netzwerk-Metaanalyse zu PCI-Strategien.</w:t>
      </w:r>
    </w:p>
    <w:p>
      <w:r>
        <w:rPr>
          <w:b/>
        </w:rPr>
        <w:t xml:space="preserve">Ergebnis: </w:t>
      </w:r>
      <w:r>
        <w:t>Routine-PCI vs. konservativ: MACE-Risiko gesenkt (RR 0,80, 95%-KI 0,65–0,98), ungeplante Revaskularisierung gesenkt (RR 0,30, 95%-KI 0,11–0,83), Major-Blutung erhöht (RR 1,57, 95%-KI 1,07–2,32). Physiology-gesteuerte PCI rangiert höchste für ischämische Outcomes.</w:t>
      </w:r>
    </w:p>
    <w:p>
      <w:r>
        <w:rPr>
          <w:b/>
          <w:sz w:val="19"/>
        </w:rPr>
        <w:t xml:space="preserve">Übertragbarkeit: </w:t>
      </w:r>
      <w:r>
        <w:rPr>
          <w:sz w:val="19"/>
        </w:rPr>
        <w:t>Europäisch-amerikanische Evidenz, Koronaranatomie und Revaskularisierungsprinzipien Deutschland-übertragbar.</w:t>
      </w:r>
    </w:p>
    <w:p>
      <w:r>
        <w:rPr>
          <w:color w:val="5A7D3A"/>
          <w:sz w:val="18"/>
        </w:rPr>
        <w:t>https://pubmed.ncbi.nlm.nih.gov/42910974/</w:t>
      </w:r>
    </w:p>
    <w:p>
      <w:pPr>
        <w:pStyle w:val="Heading2"/>
      </w:pPr>
      <w:r>
        <w:t>Frankreich: PCI-Einsatz stieg um 40 %, Bypass-Eingriffe sanken um 8 % (2014–2023)</w:t>
      </w:r>
    </w:p>
    <w:p>
      <w:r>
        <w:rPr>
          <w:i/>
          <w:color w:val="666666"/>
          <w:sz w:val="18"/>
        </w:rPr>
        <w:t>Hauguel-Moreau M et al.  ·  J Am Heart Assoc  ·  20.10.2026  ·  PMID 42885791</w:t>
      </w:r>
    </w:p>
    <w:p>
      <w:r>
        <w:t>Analyse der Französischen Nationalen Krankenhausdatenbank von 2014 bis 2023 mit 6.290.951 koronaren Interventionen bei 2.985.822 Patienten zur Darstellung zeitlicher Trends.</w:t>
      </w:r>
    </w:p>
    <w:p>
      <w:r>
        <w:rPr>
          <w:b/>
        </w:rPr>
        <w:t xml:space="preserve">Ergebnis: </w:t>
      </w:r>
      <w:r>
        <w:t>Jährliche Interventionen stiegen um 33 %; Herzkatheter +32 %, PCI +40 %, Bypass –8 %. PCI-Wachstum war elektiv (+53,5 % auf 56,9 %); Multigefäß-Erkrankung stieg von 16,7 % auf 19,0 %. Letalität nach PCI: 2,05 % (2014) → 1,58 % (2023), nach Bypass: 3,5 % → 2,9 %.</w:t>
      </w:r>
    </w:p>
    <w:p>
      <w:r>
        <w:rPr>
          <w:b/>
          <w:sz w:val="19"/>
        </w:rPr>
        <w:t xml:space="preserve">Übertragbarkeit: </w:t>
      </w:r>
      <w:r>
        <w:rPr>
          <w:sz w:val="19"/>
        </w:rPr>
        <w:t>Französische Versorgungsdaten, Sozialversicherungssystem ähnlich Deutschland.</w:t>
      </w:r>
    </w:p>
    <w:p>
      <w:r>
        <w:rPr>
          <w:color w:val="5A7D3A"/>
          <w:sz w:val="18"/>
        </w:rPr>
        <w:t>https://pubmed.ncbi.nlm.nih.gov/42885791/</w:t>
      </w:r>
    </w:p>
    <w:p>
      <w:pPr>
        <w:pStyle w:val="Heading1"/>
      </w:pPr>
      <w:r>
        <w:t>Aufgenommen am 23.10.2026</w:t>
      </w:r>
    </w:p>
    <w:p>
      <w:pPr>
        <w:pStyle w:val="Heading2"/>
      </w:pPr>
      <w:r>
        <w:t>Akute Herzinsuffizienz in der Notaufnahme: Konsens zur Diagnostik und Management</w:t>
      </w:r>
    </w:p>
    <w:p>
      <w:r>
        <w:rPr>
          <w:i/>
          <w:color w:val="666666"/>
          <w:sz w:val="18"/>
        </w:rPr>
        <w:t>Miró Ò et al.  ·  Eur Heart J  ·  22.10.2026  ·  PMID 42906949</w:t>
      </w:r>
    </w:p>
    <w:p>
      <w:r>
        <w:t>Europäische Konsensusempfehlungen zur Diagnostik, Triage und Behandlung akuter Herzinsuffizienz in Notaufnahmen und Rettungsdiensten, mit Fokus auf phenotypische Klassifikation, Biomarker, Bildgebung, Ventilation, Diuretika und frühe Therapieinitiierung.</w:t>
      </w:r>
    </w:p>
    <w:p>
      <w:r>
        <w:rPr>
          <w:b/>
        </w:rPr>
        <w:t xml:space="preserve">Ergebnis: </w:t>
      </w:r>
      <w:r>
        <w:t>Das Dokument betont die kritische Bedeutung einer schnellen phenotypischen Klassifikation in akute dekompensierte Herzinsuffizienz, akutes Lungenödem, isoliertes Rechtsherzversagen oder kardiogener Schock zur Steuerung der Frühbehandlung und Triage. Es identifiziert Wissenslücken und Forschungsprioritäten, einschließlich pragmatischer Studien zu Rettungsdienst-Interventionen und Biomarker-gestützter Therapie zur Verbesserung der Outcomes bei akuter Herzinsuffizienz.</w:t>
      </w:r>
    </w:p>
    <w:p>
      <w:r>
        <w:rPr>
          <w:b/>
          <w:sz w:val="19"/>
        </w:rPr>
        <w:t xml:space="preserve">Übertragbarkeit: </w:t>
      </w:r>
      <w:r>
        <w:rPr>
          <w:sz w:val="19"/>
        </w:rPr>
        <w:t>Europäische Konsensusarbeit, mehrere deutsche und österreichische Zentren, direkt auf europäische Notfall-Strukturen übertragbar.</w:t>
      </w:r>
    </w:p>
    <w:p>
      <w:r>
        <w:rPr>
          <w:color w:val="5A7D3A"/>
          <w:sz w:val="18"/>
        </w:rPr>
        <w:t>https://pubmed.ncbi.nlm.nih.gov/42906949/</w:t>
      </w:r>
    </w:p>
    <w:p>
      <w:pPr>
        <w:pStyle w:val="Heading2"/>
      </w:pPr>
      <w:r>
        <w:t>Digitale Gesundheitsinterventionen bei KHK: Weniger kardiovaskuläre Ereignisse</w:t>
      </w:r>
    </w:p>
    <w:p>
      <w:r>
        <w:rPr>
          <w:i/>
          <w:color w:val="666666"/>
          <w:sz w:val="18"/>
        </w:rPr>
        <w:t>Chan A et al.  ·  Eur J Prev Cardiol  ·  22.10.2026  ·  PMID 42906925</w:t>
      </w:r>
    </w:p>
    <w:p>
      <w:r>
        <w:t>Systematischer Review und Metaanalyse von 72 Studien (45 in Meta-Analyse, 23.111 Patienten) zur Wirksamkeit digitaler Gesundheitsinterventionen zur Versorgungsintegration bei Koronarer Herzkrankheit im Vergleich zu üblicher Behandlung.</w:t>
      </w:r>
    </w:p>
    <w:p>
      <w:r>
        <w:rPr>
          <w:b/>
        </w:rPr>
        <w:t xml:space="preserve">Ergebnis: </w:t>
      </w:r>
      <w:r>
        <w:t>Digitale Interventionen mit Versorgungsintegration reduzieren kardiovaskuläre Ereignisse (OR 0,74 [0,59–0,92], p=0,02), zeigen aber keinen signifikanten Effekt auf Gesamtsterblichkeit oder Readmissionen. Aktuelle Evidenz konzentriert sich auf patientenzentrierte Integration; systemic-level Integration bleibt untersucht.</w:t>
      </w:r>
    </w:p>
    <w:p>
      <w:r>
        <w:rPr>
          <w:b/>
          <w:sz w:val="19"/>
        </w:rPr>
        <w:t xml:space="preserve">Übertragbarkeit: </w:t>
      </w:r>
      <w:r>
        <w:rPr>
          <w:sz w:val="19"/>
        </w:rPr>
        <w:t>Internationale Evidenz, Übertragung auf deutsches ambulantes Versorgungssystem mit strukturierten Herzprogrammen möglich.</w:t>
      </w:r>
    </w:p>
    <w:p>
      <w:r>
        <w:rPr>
          <w:color w:val="5A7D3A"/>
          <w:sz w:val="18"/>
        </w:rPr>
        <w:t>https://pubmed.ncbi.nlm.nih.gov/42906925/</w:t>
      </w:r>
    </w:p>
    <w:p>
      <w:pPr>
        <w:pStyle w:val="Heading2"/>
      </w:pPr>
      <w:r>
        <w:t>Schrittmacher-induzierte Kardiomyopathie: RVOT-Position reduziert Risiko</w:t>
      </w:r>
    </w:p>
    <w:p>
      <w:r>
        <w:rPr>
          <w:i/>
          <w:color w:val="666666"/>
          <w:sz w:val="18"/>
        </w:rPr>
        <w:t>Van Weyenbergh T et al.  ·  Heart Rhythm  ·  21.10.2026  ·  PMID 42906715</w:t>
      </w:r>
    </w:p>
    <w:p>
      <w:r>
        <w:t>Retrospektive Single-Center-Studie an 401 Patienten mit leadless-Ventrikelschrittmachern (Micra AV n=145) zur Erfassung der Häufigkeit therapie-induzierter Kardiomyopathie und Assoziation von Implantationsort und AV-synchroner Stimulation mit Outcome.</w:t>
      </w:r>
    </w:p>
    <w:p>
      <w:r>
        <w:rPr>
          <w:b/>
        </w:rPr>
        <w:t xml:space="preserve">Ergebnis: </w:t>
      </w:r>
      <w:r>
        <w:t>Über 33,0 Monate median: Kardiomyopathie in 13,6% (4,8%/Jahr), therapie-induzierte Kardiomyopathie in 5,5% (1,9%/Jahr). RVOT-Implantation assoziiert mit niedrigerer Kardiomyopathie-Inzidenz (HR 0,48, p=0,019) und langsamerem Auswurffrraktions-Rückgang (−0,56%/Jahr vs. −1,43%/Jahr, p=0,013). Micra-AV-Geräte zeigten keinen Vorteil gegenüber VR-Geräten.</w:t>
      </w:r>
    </w:p>
    <w:p>
      <w:r>
        <w:rPr>
          <w:b/>
          <w:sz w:val="19"/>
        </w:rPr>
        <w:t xml:space="preserve">Übertragbarkeit: </w:t>
      </w:r>
      <w:r>
        <w:rPr>
          <w:sz w:val="19"/>
        </w:rPr>
        <w:t>Belgische Universitätsklinik, europäische Implantationspraxis und Langzeit-Überwachung.</w:t>
      </w:r>
    </w:p>
    <w:p>
      <w:r>
        <w:rPr>
          <w:color w:val="5A7D3A"/>
          <w:sz w:val="18"/>
        </w:rPr>
        <w:t>https://pubmed.ncbi.nlm.nih.gov/42906715/</w:t>
      </w:r>
    </w:p>
    <w:p>
      <w:pPr>
        <w:pStyle w:val="Heading2"/>
      </w:pPr>
      <w:r>
        <w:t>Pulsfeldablation bei Vorhofflimmern: 75–85 % Arrhythmiefreiheit paroxysmal</w:t>
      </w:r>
    </w:p>
    <w:p>
      <w:r>
        <w:rPr>
          <w:i/>
          <w:color w:val="666666"/>
          <w:sz w:val="18"/>
        </w:rPr>
        <w:t>Boveda S et al.  ·  Europace  ·  21.10.2026  ·  PMID 42905913</w:t>
      </w:r>
    </w:p>
    <w:p>
      <w:r>
        <w:t>Europäische Übersichtsarbeit zur Pulsfeldablation (PFA) bei paroxysmalem und persistierendem Vorhofflimmern, basierend auf aktuellen klinischen Studien, mit Angaben zu Effektivität, Komplikationen und Patientenberichteten Ergebnissen.</w:t>
      </w:r>
    </w:p>
    <w:p>
      <w:r>
        <w:rPr>
          <w:b/>
        </w:rPr>
        <w:t xml:space="preserve">Ergebnis: </w:t>
      </w:r>
      <w:r>
        <w:t>Paroxysmal Vorhofflimmern: 12-Monats-Arrhythmiefreiheit 75–85 %, Komplikationsrate 1–3 %. Persistierendes Vorhofflimmern: 60–75 % Arrhythmiefreiheit, &lt;3 % schwere Komplikationen. PFA zeigt verbesserte prozedurale Verträglichkeit, reduzierten Analgetika-Bedarf und mögliche Same-Day-Entlassung gegenüber thermalen Methoden.</w:t>
      </w:r>
    </w:p>
    <w:p>
      <w:r>
        <w:rPr>
          <w:b/>
          <w:sz w:val="19"/>
        </w:rPr>
        <w:t xml:space="preserve">Übertragbarkeit: </w:t>
      </w:r>
      <w:r>
        <w:rPr>
          <w:sz w:val="19"/>
        </w:rPr>
        <w:t>Europäische Konsensusarbeit mehrerer Länder (Frankreich, Deutschland, Belgien, UK), direkt auf deutsche EP-Labore übertragbar.</w:t>
      </w:r>
    </w:p>
    <w:p>
      <w:r>
        <w:rPr>
          <w:color w:val="5A7D3A"/>
          <w:sz w:val="18"/>
        </w:rPr>
        <w:t>https://pubmed.ncbi.nlm.nih.gov/42905913/</w:t>
      </w:r>
    </w:p>
    <w:p>
      <w:pPr>
        <w:pStyle w:val="Heading2"/>
      </w:pPr>
      <w:r>
        <w:t>Pulsfeldablation: Echtzeit-Kontrolle der Läsions-Qualität noch nicht standardisiert</w:t>
      </w:r>
    </w:p>
    <w:p>
      <w:r>
        <w:rPr>
          <w:i/>
          <w:color w:val="666666"/>
          <w:sz w:val="18"/>
        </w:rPr>
        <w:t>Cespón-Fernández M et al.  ·  Europace  ·  21.10.2026  ·  PMID 42905912</w:t>
      </w:r>
    </w:p>
    <w:p>
      <w:r>
        <w:t>Europäischer Übersichtsartikel zu Methoden der intraprozedualen Überwachung und Kontrolle der Läsions-Bildung und -Dauerhaftigkeit bei Pulsfeldablation für Vorhofflimmern.</w:t>
      </w:r>
    </w:p>
    <w:p>
      <w:r>
        <w:rPr>
          <w:b/>
        </w:rPr>
        <w:t xml:space="preserve">Ergebnis: </w:t>
      </w:r>
      <w:r>
        <w:t>Läsionsgröße und -geometrie hängen primär vom elektrischen Feld und kumulativer Elektroporation ab. Konventionelle thermale Marker (Elektrogramm-Abschwächung, Impedanzänderung, Stimulationsschwelle) korrelieren schlecht mit durablerender irreversibler Elektroporation. Multiparametrische Läsions-Schätzmodelle zeigen vielversprechende präklinische Ergebnisse, klinische Validierung bleibt begrenzt. Robuste intraprozedurale Marker fehlen noch; gegenwärtige Workflows stützen sich auf standardisierte Energieprotokolle und Läsions-Überlappung.</w:t>
      </w:r>
    </w:p>
    <w:p>
      <w:r>
        <w:rPr>
          <w:b/>
          <w:sz w:val="19"/>
        </w:rPr>
        <w:t xml:space="preserve">Übertragbarkeit: </w:t>
      </w:r>
      <w:r>
        <w:rPr>
          <w:sz w:val="19"/>
        </w:rPr>
        <w:t>Europäische Arbeitsgruppe (Spanien, Schweiz, Niederlande, Belgien, USA), auf deutsche Katheterlabore anwendbar.</w:t>
      </w:r>
    </w:p>
    <w:p>
      <w:r>
        <w:rPr>
          <w:color w:val="5A7D3A"/>
          <w:sz w:val="18"/>
        </w:rPr>
        <w:t>https://pubmed.ncbi.nlm.nih.gov/42905912/</w:t>
      </w:r>
    </w:p>
    <w:p>
      <w:pPr>
        <w:pStyle w:val="Heading2"/>
      </w:pPr>
      <w:r>
        <w:t>Antikoagulation nach VHF-Ablation: Absetzen bei niedrigem Schlaganfallrisiko sicher</w:t>
      </w:r>
    </w:p>
    <w:p>
      <w:r>
        <w:rPr>
          <w:i/>
          <w:color w:val="666666"/>
          <w:sz w:val="18"/>
        </w:rPr>
        <w:t>Lee YS et al.  ·  Heart Rhythm  ·  16.10.2026  ·  PMID 42887624</w:t>
      </w:r>
    </w:p>
    <w:p>
      <w:r>
        <w:t>Post-hoc-Analyse der ALONE-AF-Studie an 840 Patienten, stratifiziert nach CHA2DS2-VASc-Score ≤2 oder ≥3, zum Vergleich Antikoagulations-Absetzen versus Fortsetzung nach erfolgreicher VHF-Ablation.</w:t>
      </w:r>
    </w:p>
    <w:p>
      <w:r>
        <w:rPr>
          <w:b/>
        </w:rPr>
        <w:t xml:space="preserve">Ergebnis: </w:t>
      </w:r>
      <w:r>
        <w:t>CHA2DS2-VASc ≤2: Primärer Endpunkt (Schlaganfall, systemische Embolie, major bleeding) in 0,4 % (Absetzen) vs. 2,4 % (Fortsetzung), Differenz −1,9 Prozentpunkte (p=0,066). CHA2DS2-VASc ≥3: 1,8 % nur in Fortsetzungs-Gruppe. Alle major-bleeding-Ereignisse (n=5) traten in Fortsetzungs-Gruppen auf. Competing-risk-Analyse bestätigte Ergebnisse.</w:t>
      </w:r>
    </w:p>
    <w:p>
      <w:r>
        <w:rPr>
          <w:b/>
          <w:sz w:val="19"/>
        </w:rPr>
        <w:t xml:space="preserve">Übertragbarkeit: </w:t>
      </w:r>
      <w:r>
        <w:rPr>
          <w:sz w:val="19"/>
        </w:rPr>
        <w:t>Koreanische Multizenterstudie, stroke-risk-Stratifizierung international anerkannt und auf Deutschland übertragbar.</w:t>
      </w:r>
    </w:p>
    <w:p>
      <w:r>
        <w:rPr>
          <w:color w:val="5A7D3A"/>
          <w:sz w:val="18"/>
        </w:rPr>
        <w:t>https://pubmed.ncbi.nlm.nih.gov/42887624/</w:t>
      </w:r>
    </w:p>
    <w:p>
      <w:pPr>
        <w:pStyle w:val="Heading1"/>
      </w:pPr>
      <w:r>
        <w:t>Aufgenommen am 22.10.2026</w:t>
      </w:r>
    </w:p>
    <w:p>
      <w:pPr>
        <w:pStyle w:val="Heading2"/>
      </w:pPr>
      <w:r>
        <w:t>Finerenone senkt Sterblichkeit stärker als steroidale MRA bei Diabetes und Nierenerkrankung</w:t>
      </w:r>
    </w:p>
    <w:p>
      <w:r>
        <w:rPr>
          <w:i/>
          <w:color w:val="666666"/>
          <w:sz w:val="18"/>
        </w:rPr>
        <w:t>Kishimori T et al.  ·  ESC Heart Fail  ·  19.10.2026  ·  PMID 42902439</w:t>
      </w:r>
    </w:p>
    <w:p>
      <w:r>
        <w:t>Retrospektive Beobachtungsstudie an 1.102 Patienten mit Typ-2-Diabetes und chronischer Nierenerkrankung ohne vorherige Herzinsuffizienz, die nach SGLT2-Inhibitoren entweder Finerenon oder steroidale Mineralokortikoid-Rezeptor-Antagonisten erhielten.</w:t>
      </w:r>
    </w:p>
    <w:p>
      <w:r>
        <w:rPr>
          <w:b/>
        </w:rPr>
        <w:t xml:space="preserve">Ergebnis: </w:t>
      </w:r>
      <w:r>
        <w:t>Finerenon war mit niedrigerer 18-Monats-Sterblichkeit (2,1 vs. 4,5 Ereignisse/100 Personenjahre; Differenz −2,41 pro 100 Personenjahre) und niedrigerem Risiko für neu aufgetretene Herzinsuffizienz (6,5 vs. 12,9; Differenz −6,38) assoziiert. Kein signifikanter Unterschied bei Nierenergebnissen. Die Autoren weisen auf residuelles Confounding hin.</w:t>
      </w:r>
    </w:p>
    <w:p>
      <w:r>
        <w:rPr>
          <w:b/>
          <w:sz w:val="19"/>
        </w:rPr>
        <w:t xml:space="preserve">Übertragbarkeit: </w:t>
      </w:r>
      <w:r>
        <w:rPr>
          <w:sz w:val="19"/>
        </w:rPr>
        <w:t>Japan, real-world-Daten aus strukturiertem Register; SGLT2-Hemmer sind in Deutschland DMP-Standard.</w:t>
      </w:r>
    </w:p>
    <w:p>
      <w:r>
        <w:rPr>
          <w:color w:val="5A7D3A"/>
          <w:sz w:val="18"/>
        </w:rPr>
        <w:t>https://pubmed.ncbi.nlm.nih.gov/42902439/</w:t>
      </w:r>
    </w:p>
    <w:p>
      <w:pPr>
        <w:pStyle w:val="Heading2"/>
      </w:pPr>
      <w:r>
        <w:t>Bewegungstraining bei älteren Herzinsuffizienz-Patienten mit Gebrechlichkeit: Machbar und wirksam</w:t>
      </w:r>
    </w:p>
    <w:p>
      <w:r>
        <w:rPr>
          <w:i/>
          <w:color w:val="666666"/>
          <w:sz w:val="18"/>
        </w:rPr>
        <w:t>Krishnan S et al.  ·  ESC Heart Fail  ·  21.10.2026  ·  PMID 42902357</w:t>
      </w:r>
    </w:p>
    <w:p>
      <w:r>
        <w:t>Narratives Review zu Belastungstraining bei älteren Patienten mit Herzinsuffizienz und Gebrechlichkeit, mit Fokus auf Pathophysiologie, Sicherheit, optimale Programmgestaltung und Adherence-Strategien.</w:t>
      </w:r>
    </w:p>
    <w:p>
      <w:r>
        <w:rPr>
          <w:b/>
        </w:rPr>
        <w:t xml:space="preserve">Ergebnis: </w:t>
      </w:r>
      <w:r>
        <w:t>Bewegungstraining verbessert sowohl die kardiopulmonale Kapazität als auch den Gebrechlichkeitsstatus und reduziert herzinsuffizienzbedingte Komplikationen. Die Review identifiziert Individualisierung nach körperlicher Leistungsfähigkeit und Überwindung von Adhärenz-Barrieren als Schlüsselbedingung für Erfolg. Detaillierte Empfehlungen zur Programmgestaltung werden gegeben.</w:t>
      </w:r>
    </w:p>
    <w:p>
      <w:r>
        <w:rPr>
          <w:b/>
          <w:sz w:val="19"/>
        </w:rPr>
        <w:t xml:space="preserve">Übertragbarkeit: </w:t>
      </w:r>
      <w:r>
        <w:rPr>
          <w:sz w:val="19"/>
        </w:rPr>
        <w:t>UK (NIHR Leicester); Rehabilitations-Standards sind europäisch etabliert, übertragbar auf deutsche Cardiac-Rehabilitation-Programme.</w:t>
      </w:r>
    </w:p>
    <w:p>
      <w:r>
        <w:rPr>
          <w:color w:val="5A7D3A"/>
          <w:sz w:val="18"/>
        </w:rPr>
        <w:t>https://pubmed.ncbi.nlm.nih.gov/42902357/</w:t>
      </w:r>
    </w:p>
    <w:p>
      <w:pPr>
        <w:pStyle w:val="Heading2"/>
      </w:pPr>
      <w:r>
        <w:t>Drug-Coated Balloons senken Restenose an Seitenasten von Bifurkationsläsionen</w:t>
      </w:r>
    </w:p>
    <w:p>
      <w:r>
        <w:rPr>
          <w:i/>
          <w:color w:val="666666"/>
          <w:sz w:val="18"/>
        </w:rPr>
        <w:t>Ishihara T et al.  ·  Circ Cardiovasc Interv  ·  29.05.2026  ·  PMID 42900708</w:t>
      </w:r>
    </w:p>
    <w:p>
      <w:r>
        <w:t>Multizentrische randomisierte offene Studie mit 299 Patienten mit Bifurkationsläsionen, die Drug-Eluting-Stent (DES) in Hauptstamm erhielten und randomisiert zu zusätzlicher Dilatation der Seitenast mit Drug-Coated Balloon (DCB) oder konventionellem Ballon zugeteilt wurden.</w:t>
      </w:r>
    </w:p>
    <w:p>
      <w:r>
        <w:rPr>
          <w:b/>
        </w:rPr>
        <w:t xml:space="preserve">Ergebnis: </w:t>
      </w:r>
      <w:r>
        <w:t>Restenose der Seitenast nach 9 Monaten/1 Jahr war in der DCB-Gruppe niedriger als in der Non-DCB-Gruppe (8,1 % vs. 18,3 %, p=0,012). Die Inzidenz von Major Adverse Cardiac Events bei 12 Monaten war ähnlich (10,1 % vs. 12,4 %, p=0,58).</w:t>
      </w:r>
    </w:p>
    <w:p>
      <w:r>
        <w:rPr>
          <w:b/>
          <w:sz w:val="19"/>
        </w:rPr>
        <w:t xml:space="preserve">Übertragbarkeit: </w:t>
      </w:r>
      <w:r>
        <w:rPr>
          <w:sz w:val="19"/>
        </w:rPr>
        <w:t>Japan, kathetergestützte Intervention; Methodologie vergleichbar mit europäischen Standards, Ergebnis relevant für interventionelle Kardiologie.</w:t>
      </w:r>
    </w:p>
    <w:p>
      <w:r>
        <w:rPr>
          <w:color w:val="5A7D3A"/>
          <w:sz w:val="18"/>
        </w:rPr>
        <w:t>https://pubmed.ncbi.nlm.nih.gov/42900708/</w:t>
      </w:r>
    </w:p>
    <w:p>
      <w:pPr>
        <w:pStyle w:val="Heading2"/>
      </w:pPr>
      <w:r>
        <w:t>IL-30 von Herzmuskelzellen reduziert Entzündung und Umbau nach Herzinfarkt</w:t>
      </w:r>
    </w:p>
    <w:p>
      <w:r>
        <w:rPr>
          <w:i/>
          <w:color w:val="666666"/>
          <w:sz w:val="18"/>
        </w:rPr>
        <w:t>Chen S et al.  ·  Basic Res Cardiol  ·  20.10.2026  ·  PMID 42900195</w:t>
      </w:r>
    </w:p>
    <w:p>
      <w:r>
        <w:t>Experimentelle Studie in transgenen Mäusen und Humanmaterial (n=75 STEMI-Patienten, longitudinale Kohorte n=247): IL-30-Mangel in Kardiomyozyten verstärkt Immunantwort der Milz und verschlechtert Herzfunktion; Effekt über B-Zell-Signaling via Glycoprotein 130.</w:t>
      </w:r>
    </w:p>
    <w:p>
      <w:r>
        <w:rPr>
          <w:b/>
        </w:rPr>
        <w:t xml:space="preserve">Ergebnis: </w:t>
      </w:r>
      <w:r>
        <w:t>Bei IL-30-defizienten Mäusen stieg Myokard-IgG-Ablagerung und Kardiomyozyten-Apoptose, Herzfunktion verschlechterte sich. Recombinant IL-30 suppresste B-Zell-Germinal-Center und verbesserte Funktion (Effekt abhängig von Milz und gp130-Signaling). Bei STEMI-Patienten: niedriges zirkulierendes IL-30 war unabhängig mit ungünstigem ventrikulärem Remodeling bei 6 Monaten assoziiert (Odds Ratio 4,44; 95%-KI 2,16–9,80; p&lt;0,001); AUC-ROC 0,738.</w:t>
      </w:r>
    </w:p>
    <w:p>
      <w:r>
        <w:rPr>
          <w:b/>
          <w:sz w:val="19"/>
        </w:rPr>
        <w:t xml:space="preserve">Übertragbarkeit: </w:t>
      </w:r>
      <w:r>
        <w:rPr>
          <w:sz w:val="19"/>
        </w:rPr>
        <w:t>China (Humankohorte Fudan University Shanghai); Mechanismus mit klinischem Biomarker-Befund, Grundlage für zukünftige therapeutische Ansätze.</w:t>
      </w:r>
    </w:p>
    <w:p>
      <w:r>
        <w:rPr>
          <w:color w:val="5A7D3A"/>
          <w:sz w:val="18"/>
        </w:rPr>
        <w:t>https://pubmed.ncbi.nlm.nih.gov/42900195/</w:t>
      </w:r>
    </w:p>
    <w:p>
      <w:pPr>
        <w:pStyle w:val="Heading2"/>
      </w:pPr>
      <w:r>
        <w:t>Stickoxid-Exposition erhöht Vorhofflimmer-Risiko um 29 %</w:t>
      </w:r>
    </w:p>
    <w:p>
      <w:r>
        <w:rPr>
          <w:i/>
          <w:color w:val="666666"/>
          <w:sz w:val="18"/>
        </w:rPr>
        <w:t>Cannon EJ et al.  ·  Heart Rhythm  ·  16.10.2026  ·  PMID 42887622</w:t>
      </w:r>
    </w:p>
    <w:p>
      <w:r>
        <w:t>Prospektive Kohortenstudie an 6.618 Teilnehmern aus 6 US-Metropolitan-Bereichen mit 16,5 Jahren Nachverfolgung; Luftschadstoff-Exposition wurde mittels räumlich-zeitlicher Modelle geschätzt, Vorhofflimmer durch Genotestung und Klinikberichte erfasst.</w:t>
      </w:r>
    </w:p>
    <w:p>
      <w:r>
        <w:rPr>
          <w:b/>
        </w:rPr>
        <w:t xml:space="preserve">Ergebnis: </w:t>
      </w:r>
      <w:r>
        <w:t>Eine Interquartil-Erhöhung von Stickstoffdioxid (NO2; 13,5 ppb) war mit 29 % höherem Vorhofflimmer-Risiko verbunden (Hazard Ratio 1,00–1,67). Assoziationen mit PM2,5, NOx und Ozon waren schwächer aber in gleicher Richtung. Mediane NO2-Exposition lag unter der EPA-Grenze von 53 ppb.</w:t>
      </w:r>
    </w:p>
    <w:p>
      <w:r>
        <w:rPr>
          <w:b/>
          <w:sz w:val="19"/>
        </w:rPr>
        <w:t xml:space="preserve">Übertragbarkeit: </w:t>
      </w:r>
      <w:r>
        <w:rPr>
          <w:sz w:val="19"/>
        </w:rPr>
        <w:t>USA; Luftqualitätsbelastung und Schwellwerte unterscheiden sich; Mechanismus-Befund (Umweltbelastung) aber generalisierbar für Prävention.</w:t>
      </w:r>
    </w:p>
    <w:p>
      <w:r>
        <w:rPr>
          <w:color w:val="5A7D3A"/>
          <w:sz w:val="18"/>
        </w:rPr>
        <w:t>https://pubmed.ncbi.nlm.nih.gov/42887622/</w:t>
      </w:r>
    </w:p>
    <w:p>
      <w:pPr>
        <w:pStyle w:val="Heading2"/>
      </w:pPr>
      <w:r>
        <w:t>Machine Learning verbessert Vorhofflimmer-Rezidiv-Vorhersage durch Ablationsqualität</w:t>
      </w:r>
    </w:p>
    <w:p>
      <w:r>
        <w:rPr>
          <w:i/>
          <w:color w:val="666666"/>
          <w:sz w:val="18"/>
        </w:rPr>
        <w:t>Wang K et al.  ·  JACC Clin Electrophysiol  ·  03.10.2026  ·  PMID 42886095</w:t>
      </w:r>
    </w:p>
    <w:p>
      <w:r>
        <w:t>Multizentrische retrospektive Kohortenstudie an 1.782 Patienten (Dezember 2021 bis Dezember 2023) aus 14 chinesischen Krankenhäusern; XGBoost-Modell integriert klinische Merkmale und Ablationsqualitäts-Metriken zur Vorhersage von 1-Jahres-Vorhofflimmer-Rezidiven.</w:t>
      </w:r>
    </w:p>
    <w:p>
      <w:r>
        <w:rPr>
          <w:b/>
        </w:rPr>
        <w:t xml:space="preserve">Ergebnis: </w:t>
      </w:r>
      <w:r>
        <w:t>16,5 % der Patienten (294/1.782) entwickelten Vorhofflimmer-Rezidive innerhalb 1 Jahr. Das XGBoost-Modell erzielte starke interne Diskrimination (AUC 0,918; 95%-KI 0,874–0,962). Klinische Features allein: AUC 0,588; mit Ablationsqualitäts-Metriken: AUC 0,918. Externe Validierung an 2 unabhängigen Zentren (n=239): AUCs 0,992 und 0,951.</w:t>
      </w:r>
    </w:p>
    <w:p>
      <w:r>
        <w:rPr>
          <w:b/>
          <w:sz w:val="19"/>
        </w:rPr>
        <w:t xml:space="preserve">Übertragbarkeit: </w:t>
      </w:r>
      <w:r>
        <w:rPr>
          <w:sz w:val="19"/>
        </w:rPr>
        <w:t>China, multizentrisch; Ablationsqualität ist ein modifizierbarer intraprozedurale Faktor, relevant für europäische Elektro-Physiologen-Standards.</w:t>
      </w:r>
    </w:p>
    <w:p>
      <w:r>
        <w:rPr>
          <w:color w:val="5A7D3A"/>
          <w:sz w:val="18"/>
        </w:rPr>
        <w:t>https://pubmed.ncbi.nlm.nih.gov/42886095/</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