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Kardiologie</w:t>
      </w:r>
    </w:p>
    <w:p>
      <w:r>
        <w:rPr>
          <w:i/>
          <w:color w:val="666666"/>
          <w:sz w:val="18"/>
        </w:rPr>
        <w:t>Stand: 10.10.2026  |  5 Studien  |  kardio.m-vf.de</w:t>
      </w:r>
    </w:p>
    <w:p>
      <w:pPr>
        <w:pStyle w:val="Heading1"/>
      </w:pPr>
      <w:r>
        <w:t>Aufgenommen am 10.10.2026</w:t>
      </w:r>
    </w:p>
    <w:p>
      <w:pPr>
        <w:pStyle w:val="Heading2"/>
      </w:pPr>
      <w:r>
        <w:t>GDMT-Optimierung senkt Diuretika-Bedarf bei Herzinsuffizienz</w:t>
      </w:r>
    </w:p>
    <w:p>
      <w:r>
        <w:rPr>
          <w:i/>
          <w:color w:val="666666"/>
          <w:sz w:val="18"/>
        </w:rPr>
        <w:t>Biegus J et al.  ·  Eur J Heart Fail  ·  09.10.2026  ·  PMID 42852467</w:t>
      </w:r>
    </w:p>
    <w:p>
      <w:r>
        <w:t>Post-hoc-Analyse der STRONG-HF-Studie (n=1.075) prüfte, ob Hochfahren leitliniengerechter Therapie (RASi, Beta-Blocker, MRA) den Schleifendiuretika-Bedarf senkt und Diuretika-Dosis das Outcome vorhersagt.</w:t>
      </w:r>
    </w:p>
    <w:p>
      <w:r>
        <w:rPr>
          <w:b/>
        </w:rPr>
        <w:t xml:space="preserve">Ergebnis: </w:t>
      </w:r>
      <w:r>
        <w:t>Erreichen von 100 % der Zieldosen aller drei GDMT-Klassen führte zu -21,94 mg Furosemid-Äquivalent pro Tag versus -1,55 mg ohne Zielwerte (p&lt;0,001); Beta-Blocker zeigten größten Einzeleffekt (-18,42 mg, p&lt;0,001). Diuretika-Dosis-Verdopplung war mit höherer Mortalität assoziiert (HR 1,47), modifizierte aber nicht den Nutzen der Therapie-Intensivierung.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Klinikerfahrung mit optimierter GDMT, direkt auf Versorgungsalltag übertragbar</w:t>
      </w:r>
    </w:p>
    <w:p>
      <w:r>
        <w:rPr>
          <w:color w:val="5A7D3A"/>
          <w:sz w:val="18"/>
        </w:rPr>
        <w:t>https://pubmed.ncbi.nlm.nih.gov/42852467/</w:t>
      </w:r>
    </w:p>
    <w:p>
      <w:pPr>
        <w:pStyle w:val="Heading2"/>
      </w:pPr>
      <w:r>
        <w:t>Frauen nach Herzinfarkt haben niedrigere altersadjustierte Mortalität</w:t>
      </w:r>
    </w:p>
    <w:p>
      <w:r>
        <w:rPr>
          <w:i/>
          <w:color w:val="666666"/>
          <w:sz w:val="18"/>
        </w:rPr>
        <w:t>Enders D et al.  ·  Dtsch Arztebl Int  ·  11.12.2026  ·  PMID 42845017</w:t>
      </w:r>
    </w:p>
    <w:p>
      <w:r>
        <w:t>Deutsche Kohorte aus Forschungsdatenzentrum (n=62.884 Frauen, 113.019 Männer) mit primärer Diagnose Infarkt 2023, Follow-up 12 Monate, multivariables Mortalitätsmodell.</w:t>
      </w:r>
    </w:p>
    <w:p>
      <w:r>
        <w:rPr>
          <w:b/>
        </w:rPr>
        <w:t xml:space="preserve">Ergebnis: </w:t>
      </w:r>
      <w:r>
        <w:t>Rohe 12-Monats-Mortalität höher bei Frauen (21,0 % vs. 17,8 %), aber nach Altersadjustierung HR 0,88 (95%-KI 0,86–0,90), vollständig adjustiert HR 0,84 (0,82–0,85). Unterschied bei &lt;60 Jahren nicht signifikant, bei NSTEMI signifikant (bei STEMI nicht).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Routinedaten, GKV-Dokumentation, direkt auf Versorgung übertragbar</w:t>
      </w:r>
    </w:p>
    <w:p>
      <w:r>
        <w:rPr>
          <w:color w:val="5A7D3A"/>
          <w:sz w:val="18"/>
        </w:rPr>
        <w:t>https://pubmed.ncbi.nlm.nih.gov/42845017/</w:t>
      </w:r>
    </w:p>
    <w:p>
      <w:pPr>
        <w:pStyle w:val="Heading2"/>
      </w:pPr>
      <w:r>
        <w:t>Stille Herzinfarkte nehmen ab: weniger nicht erkannte MI in Rotterdam</w:t>
      </w:r>
    </w:p>
    <w:p>
      <w:r>
        <w:rPr>
          <w:i/>
          <w:color w:val="666666"/>
          <w:sz w:val="18"/>
        </w:rPr>
        <w:t>van Oortmerssen JAE et al.  ·  JAMA Cardiol  ·  07.10.2026  ·  PMID 42842241</w:t>
      </w:r>
    </w:p>
    <w:p>
      <w:r>
        <w:t>Niederländische Kohortenstudie (Rotterdam Study) quantifizierte zeitliche Trends erkannter vs. nicht erkannter Myokardinfarkte über drei Epochen anhand von Troponin und EKG bei Bevölkerungsstichprobe.</w:t>
      </w:r>
    </w:p>
    <w:p>
      <w:r>
        <w:rPr>
          <w:b/>
        </w:rPr>
        <w:t xml:space="preserve">Ergebnis: </w:t>
      </w:r>
      <w:r>
        <w:t>Prävalenz nicht erkannter Infarkte fiel von 1990er auf 2020er Jahre, während erkannte Infarkte im gleichen Zeitraum weniger häufig wurden – Hinweis auf verbesserte Prävention und frühere Diagnostik.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 strukturiertes Gesundheitssystem, robuste Sekundärdaten</w:t>
      </w:r>
    </w:p>
    <w:p>
      <w:r>
        <w:rPr>
          <w:color w:val="5A7D3A"/>
          <w:sz w:val="18"/>
        </w:rPr>
        <w:t>https://pubmed.ncbi.nlm.nih.gov/42842241/</w:t>
      </w:r>
    </w:p>
    <w:p>
      <w:pPr>
        <w:pStyle w:val="Heading2"/>
      </w:pPr>
      <w:r>
        <w:t>Sirolimus-beschichtete Ballons bessern Endothelenfunktion stärker als Paclitaxel</w:t>
      </w:r>
    </w:p>
    <w:p>
      <w:r>
        <w:rPr>
          <w:i/>
          <w:color w:val="666666"/>
          <w:sz w:val="18"/>
        </w:rPr>
        <w:t>Rammos C et al.  ·  J Am Heart Assoc  ·  06.10.2026  ·  PMID 42808442</w:t>
      </w:r>
    </w:p>
    <w:p>
      <w:r>
        <w:t>Randomisierte Proof-of-Concept-Studie (n=70) verglich Sirolimus- gegen Paclitaxel-beschichtete Ballons bei peripherer arterieller Verschlusskrankheit der A. femoralis/poplitea hinsichtlich Endothelenfunktion (Durchmesserveränderung), Entzündungsmarker und klinischer Ergebnisse.</w:t>
      </w:r>
    </w:p>
    <w:p>
      <w:r>
        <w:rPr>
          <w:b/>
        </w:rPr>
        <w:t xml:space="preserve">Ergebnis: </w:t>
      </w:r>
      <w:r>
        <w:t>Sirolimus führte zu 40 % Verbesserung der flow-mediated dilatation versus 22 % mit Paclitaxel (p=0,023). Entzündungsmarker sanken signifikant nach Sirolimus-Gabe (Tag 30). Primäre Offenheit und Freiheit von Zielläsionen-Revaskularisierung unterschieden sich nach 12 Monaten nicht zwischen 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Pathophysiologische Evidenz, mechanistisches Verständnis, kleine Fallzahl – Übertragbarkeit auf Routineversorgung unklar</w:t>
      </w:r>
    </w:p>
    <w:p>
      <w:r>
        <w:rPr>
          <w:color w:val="5A7D3A"/>
          <w:sz w:val="18"/>
        </w:rPr>
        <w:t>https://pubmed.ncbi.nlm.nih.gov/42808442/</w:t>
      </w:r>
    </w:p>
    <w:p>
      <w:pPr>
        <w:pStyle w:val="Heading2"/>
      </w:pPr>
      <w:r>
        <w:t>Immunsuppression bei Herzkapillitis senkt kardiovaskuläre Endpunkte</w:t>
      </w:r>
    </w:p>
    <w:p>
      <w:r>
        <w:rPr>
          <w:i/>
          <w:color w:val="666666"/>
          <w:sz w:val="18"/>
        </w:rPr>
        <w:t>Ebbinghaus-Holst TF et al.  ·  J Am Heart Assoc  ·  06.10.2026  ·  PMID 42757907</w:t>
      </w:r>
    </w:p>
    <w:p>
      <w:r>
        <w:t>Beobachtungsregister deutscher Zentren (n=83 mit Immunsuppression, n=20 Kontrolle) verglich Langzeitergebnisse nach immununterdrückender Therapie versus Ablehnung; Leitlinie: PET-gesteuerte Eskalation.</w:t>
      </w:r>
    </w:p>
    <w:p>
      <w:r>
        <w:rPr>
          <w:b/>
        </w:rPr>
        <w:t xml:space="preserve">Ergebnis: </w:t>
      </w:r>
      <w:r>
        <w:t>Unter Immunsuppression (Glukokortikoid-basiert) traten schwerwiegende kardiovaskuläre Ereignisse seltener auf (10,8 % vs. 40,0 %, p=0,004). Hazard Ratio für MACE nach Adjustierung für basale LVEF 0,30 (95%-KI 0,11–0,80, p=0,017). Ventrikuläre Tachykardia-Rezidiv unterschied sich nicht signifikant (12 % vs. 20 %, p=0,264).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und österreichische Daten, Versorgungspraxis, aber: offenes Design, Confounding möglich</w:t>
      </w:r>
    </w:p>
    <w:p>
      <w:r>
        <w:rPr>
          <w:color w:val="5A7D3A"/>
          <w:sz w:val="18"/>
        </w:rPr>
        <w:t>https://pubmed.ncbi.nlm.nih.gov/42757907/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Kardiologie</dc:title>
  <dc:subject/>
  <dc:creator>Monitor Versorgungsforschung</dc:creator>
  <cp:keywords/>
  <dc:description>generated by python-docx</dc:description>
  <cp:lastModifiedBy/>
  <cp:revision>1</cp:revision>
  <dcterms:created xsi:type="dcterms:W3CDTF">2026-10-10T06:00:00Z</dcterms:created>
  <dcterms:modified xsi:type="dcterms:W3CDTF">2026-10-10T06:00:00Z</dcterms:modified>
  <cp:category/>
</cp:coreProperties>
</file>