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Kardiologie</w:t>
      </w:r>
    </w:p>
    <w:p>
      <w:r>
        <w:rPr>
          <w:i/>
          <w:color w:val="666666"/>
          <w:sz w:val="18"/>
        </w:rPr>
        <w:t>Stand: 05.10.2026  |  6 Studien  |  kardio.m-vf.de</w:t>
      </w:r>
    </w:p>
    <w:p>
      <w:pPr>
        <w:pStyle w:val="Heading1"/>
      </w:pPr>
      <w:r>
        <w:t>Aufgenommen am 05.10.2026</w:t>
      </w:r>
    </w:p>
    <w:p>
      <w:pPr>
        <w:pStyle w:val="Heading2"/>
      </w:pPr>
      <w:r>
        <w:t>Linksatrialer Verschluss bei Krebspatienten mit Vorhofflimmern: höhere Mortalität, gleiche Schlaganfall-/Blutungsrate</w:t>
      </w:r>
    </w:p>
    <w:p>
      <w:r>
        <w:rPr>
          <w:i/>
          <w:color w:val="666666"/>
          <w:sz w:val="18"/>
        </w:rPr>
        <w:t>Afonso LM et al.  ·  Am J Cardiol  ·  04.10.2026  ·  PMID 42830154</w:t>
      </w:r>
    </w:p>
    <w:p>
      <w:r>
        <w:t>Systematische Übersichtsarbeit und aktualisierte Metaanalyse: 9 Studien mit 209.325 Patienten, davon 39,3% Frauen, Alter 77 Jahre, zur Sicherheit und Wirksamkeit des linksatrialen Appendage Occlusion (LAAO) bei Krebspatienten mit Vorhofflimmern.</w:t>
      </w:r>
    </w:p>
    <w:p>
      <w:r>
        <w:rPr>
          <w:b/>
        </w:rPr>
        <w:t xml:space="preserve">Ergebnis: </w:t>
      </w:r>
      <w:r>
        <w:t>Krebs assoziiert mit höherer Langzeit-Gesamtmortalität (HR 1,64, 95%-KI 1,20–2,23; p=0,002). Kein signifikanter Unterschied bei Schlaganfall (HR 0,59, 95%-KI 0,30–1,15; p=0,12) oder Blutung (HR 1,02, 95%-KI 0,57–1,83; p=0,94). Kein Unterschied zwischen aktuellem und prior Krebs (p=0,146).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Kohorten, Befund zur Mortalität systemunabhängig, Indikationsabwägung für deutsche Zentren relevant</w:t>
      </w:r>
    </w:p>
    <w:p>
      <w:r>
        <w:rPr>
          <w:color w:val="5A7D3A"/>
          <w:sz w:val="18"/>
        </w:rPr>
        <w:t>https://pubmed.ncbi.nlm.nih.gov/42830154/</w:t>
      </w:r>
    </w:p>
    <w:p>
      <w:pPr>
        <w:pStyle w:val="Heading2"/>
      </w:pPr>
      <w:r>
        <w:t>Osaka Prognostic Score sagt paroxysmals Vorhofflimmern voraus: OR 3,37</w:t>
      </w:r>
    </w:p>
    <w:p>
      <w:r>
        <w:rPr>
          <w:i/>
          <w:color w:val="666666"/>
          <w:sz w:val="18"/>
        </w:rPr>
        <w:t>Yıldırım E et al.  ·  Herz  ·  01.10.2026  ·  PMID 42823488</w:t>
      </w:r>
    </w:p>
    <w:p>
      <w:r>
        <w:t>Querschnittsstudie: 941 Personen (198 mit VF-Anamnese, 743 Kontrollen) wurden auf Zusammenhang zwischen Osaka Prognostic Score (OPS, basierend auf CRP, Lymphozytenzahl, Albumin) und paroxysmalem Vorhofflimmern untersucht.</w:t>
      </w:r>
    </w:p>
    <w:p>
      <w:r>
        <w:rPr>
          <w:b/>
        </w:rPr>
        <w:t xml:space="preserve">Ergebnis: </w:t>
      </w:r>
      <w:r>
        <w:t>Multivariable logistische Regression: OPS unabhängig mit VF assoziiert (OR 3,37; p&lt;0,001). ROC-Analyse: OPS &gt;0,5 mit VF-Präsenz verbunden (Sensitivität 55,6%, Spezifität 77,4%, AUC 0,682; p&lt;0,001). Einfacher klinischer Biomarker, der Zusatzinformation zur Risikostratifikation liefert.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Türkei, prospektives Design zur Validierung erforderlich, Biomarker-Konzept international übertragbar</w:t>
      </w:r>
    </w:p>
    <w:p>
      <w:r>
        <w:rPr>
          <w:color w:val="5A7D3A"/>
          <w:sz w:val="18"/>
        </w:rPr>
        <w:t>https://pubmed.ncbi.nlm.nih.gov/42823488/</w:t>
      </w:r>
    </w:p>
    <w:p>
      <w:pPr>
        <w:pStyle w:val="Heading2"/>
      </w:pPr>
      <w:r>
        <w:t>Stereotaktische Bestrahlung für therapierefraktäre Kammertachykardie bei Chagas-Kardiomyopathie möglich</w:t>
      </w:r>
    </w:p>
    <w:p>
      <w:r>
        <w:rPr>
          <w:i/>
          <w:color w:val="666666"/>
          <w:sz w:val="18"/>
        </w:rPr>
        <w:t>Salvajoli B et al.  ·  JACC Clin Electrophysiol  ·  11.09.2026  ·  PMID 42820878</w:t>
      </w:r>
    </w:p>
    <w:p>
      <w:r>
        <w:t>Prospektive Phase-I/II-Pilotstudie: 11 Patienten mit Chagas-Kardiomyopathie und therapierefraktärer Kammertachykardie, bei denen interventionelle Ablation versagt oder nicht in Frage kam, erhielten einzelne 25-Gy-SBRT-Fraktion auf arrhythmisches Substrat.</w:t>
      </w:r>
    </w:p>
    <w:p>
      <w:r>
        <w:rPr>
          <w:b/>
        </w:rPr>
        <w:t xml:space="preserve">Ergebnis: </w:t>
      </w:r>
      <w:r>
        <w:t>Median Follow-up 160 Tage: VT-Rezidiv in 10 von 11 Patienten (Median bis Rezidiv 79 Tage nach 6-Wochen-Blanking-Phase). Vergleich 12 Monate nach vs. 6 Monate vor SBRT: signifikante Reduktion VT-Episoden (p=0,040), Antitachykardie-Pacing (p=0,012) und kombinierte Therapien (p=0,022). 12-Monats-Gesamtüberleben 45,5%. Keine schwerwiegenden therapiebedingten Nebenwirkungen.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Brasilien, neue Technik, aber Machbarkeit und Sicherheit wegweisend für seltene, therapierefraktäre Indikation</w:t>
      </w:r>
    </w:p>
    <w:p>
      <w:r>
        <w:rPr>
          <w:color w:val="5A7D3A"/>
          <w:sz w:val="18"/>
        </w:rPr>
        <w:t>https://pubmed.ncbi.nlm.nih.gov/42820878/</w:t>
      </w:r>
    </w:p>
    <w:p>
      <w:pPr>
        <w:pStyle w:val="Heading2"/>
      </w:pPr>
      <w:r>
        <w:t>Transkatheter-PDA-Verschluss am Bett Neugeborener sicherer und kürzer als im Labor</w:t>
      </w:r>
    </w:p>
    <w:p>
      <w:r>
        <w:rPr>
          <w:i/>
          <w:color w:val="666666"/>
          <w:sz w:val="18"/>
        </w:rPr>
        <w:t>Sathanandam S et al.  ·  JACC Cardiovasc Interv  ·  28.09.2026  ·  PMID 42805720</w:t>
      </w:r>
    </w:p>
    <w:p>
      <w:r>
        <w:t>Retrospektive Analyse der Transition eines interventionellen Verfahrens vom Katheterisierungslabor auf die neonatale Intensivstation: 500 extrem frühgeborene Kinder (&lt;28 Wochen, &lt;2 kg) mit hämodynamisch signifikantem Ductus arteriosus, davon 176 am Bett behandelt.</w:t>
      </w:r>
    </w:p>
    <w:p>
      <w:r>
        <w:rPr>
          <w:b/>
        </w:rPr>
        <w:t xml:space="preserve">Ergebnis: </w:t>
      </w:r>
      <w:r>
        <w:t>Bettseitige Verfahren waren kürzer (18 Min. vs. 32 Min., p&lt;0,001), mit weniger Strahlenbelastung (0,019 vs. 0,068 Gy×cm²; p&lt;0,001). Prozedurales Erfolg: 100% in allen Settings. Komplikationsrate 1,7% ähnlich in allen Gruppen. Überlebensrate nach Median 6,8 Jahren: 89%, keine Rezidiv-PDAs, minimale Spätkomplikationen.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USA-Zentren, aber Verfahrenssicherheit und Outcome-Daten unabhängig von Gesundheitssystem übertragbar</w:t>
      </w:r>
    </w:p>
    <w:p>
      <w:r>
        <w:rPr>
          <w:color w:val="5A7D3A"/>
          <w:sz w:val="18"/>
        </w:rPr>
        <w:t>https://pubmed.ncbi.nlm.nih.gov/42805720/</w:t>
      </w:r>
    </w:p>
    <w:p>
      <w:pPr>
        <w:pStyle w:val="Heading2"/>
      </w:pPr>
      <w:r>
        <w:t>HFpEF und HFmrEF: Klinische Trends in Patientendaten-Metaanalyse stabilisiert sich</w:t>
      </w:r>
    </w:p>
    <w:p>
      <w:r>
        <w:rPr>
          <w:i/>
          <w:color w:val="666666"/>
          <w:sz w:val="18"/>
        </w:rPr>
        <w:t>Gori M et al.  ·  Eur Heart J  ·  26.09.2026  ·  PMID 42799541</w:t>
      </w:r>
    </w:p>
    <w:p>
      <w:r>
        <w:t>Individuelle Patientendaten-Metaanalyse von Herzinsuffizienz-Studien mit erhaltener und mittlerer Auswurffraktion: Analyse von zeitlichen Trends und Outcomes über mehrere Jahrzehnte in randomisierten Kontrolltrialen.</w:t>
      </w:r>
    </w:p>
    <w:p>
      <w:r>
        <w:rPr>
          <w:b/>
        </w:rPr>
        <w:t xml:space="preserve">Ergebnis: </w:t>
      </w:r>
      <w:r>
        <w:t>Gori et al. zeigen, dass sich die klinischen Charakteristiken und Outcomevariablen von HFpEF und HFmrEF über Zeit stabilisieren; präzise Quantifizierung der Baseline-Merkmale und Endpunkte im Abstract nicht genannt. Befund unterstreicht, dass diese Phänotypen konstante Prognostik aufweisen.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und nordamerikanische Studienpopulationen, übertragbar auf strukturierte Versorgung</w:t>
      </w:r>
    </w:p>
    <w:p>
      <w:r>
        <w:rPr>
          <w:color w:val="5A7D3A"/>
          <w:sz w:val="18"/>
        </w:rPr>
        <w:t>https://pubmed.ncbi.nlm.nih.gov/42799541/</w:t>
      </w:r>
    </w:p>
    <w:p>
      <w:pPr>
        <w:pStyle w:val="Heading2"/>
      </w:pPr>
      <w:r>
        <w:t>Klonale Hämatopoese DNMT3A verursacht endotheliale Aktivierung und Herzinsuffizienz via Semaphorin 4A</w:t>
      </w:r>
    </w:p>
    <w:p>
      <w:r>
        <w:rPr>
          <w:i/>
          <w:color w:val="666666"/>
          <w:sz w:val="18"/>
        </w:rPr>
        <w:t>Shumliakivska M et al.  ·  Cardiovasc Res  ·  05.09.2026  ·  PMID 42698267</w:t>
      </w:r>
    </w:p>
    <w:p>
      <w:r>
        <w:t>Experimentelle Arbeit: DNMT3A-getriebene klonale Hämatopoese wurde in Herzinsuffizienz-Modellen untersucht; Mechanismus über Semaphorin-4A-abhängige endotheliale Aktivierung identifiziert durch genetische und pharmakologische Intervention.</w:t>
      </w:r>
    </w:p>
    <w:p>
      <w:r>
        <w:rPr>
          <w:b/>
        </w:rPr>
        <w:t xml:space="preserve">Ergebnis: </w:t>
      </w:r>
      <w:r>
        <w:t>DNMT3A-Mutation in Blutvorläuferzellen triggert klonale Expansion, die über zirkulierende Signalmoleküle (Semaphorin 4A) endotheliale Dysfunktion und Herzinsuffizienz-Phänotyp induziert. Genetische und pharmazeutische Blockade des Mechanismus reduziert HF-Progression in vivo.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(Frankfurt, Heidelberg), funktioneller Mechanismus mit therapeutischem Ansatz für tiefere Grundlagenforschung</w:t>
      </w:r>
    </w:p>
    <w:p>
      <w:r>
        <w:rPr>
          <w:color w:val="5A7D3A"/>
          <w:sz w:val="18"/>
        </w:rPr>
        <w:t>https://pubmed.ncbi.nlm.nih.gov/42698267/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Kardiologie</dc:title>
  <dc:subject/>
  <dc:creator>Monitor Versorgungsforschung</dc:creator>
  <cp:keywords/>
  <dc:description>generated by python-docx</dc:description>
  <cp:lastModifiedBy/>
  <cp:revision>1</cp:revision>
  <dcterms:created xsi:type="dcterms:W3CDTF">2026-10-05T06:00:00Z</dcterms:created>
  <dcterms:modified xsi:type="dcterms:W3CDTF">2026-10-05T06:00:00Z</dcterms:modified>
  <cp:category/>
</cp:coreProperties>
</file>