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26.10.2026  |  5 Studien  |  kardio.m-vf.de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Gestaffelte Revaskularisierung bessere Strategie für ST-Infarkt über 70 Jahren</w:t>
      </w:r>
    </w:p>
    <w:p>
      <w:r>
        <w:rPr>
          <w:i/>
          <w:color w:val="666666"/>
          <w:sz w:val="18"/>
        </w:rPr>
        <w:t>Cho KH et al.  ·  JACC Cardiovasc Interv  ·  22.10.2026  ·  PMID 42925297</w:t>
      </w:r>
    </w:p>
    <w:p>
      <w:r>
        <w:t>Sekundäranalyse der OPTION-STEMI-Studie mit 994 Patienten: Vergleich von sofortiger versus gestaffelter Revaskularisierung im Krankenhaus bei älteren Patienten mit ST-Hebungsinfarkt und Multigefäßerkrankung.</w:t>
      </w:r>
    </w:p>
    <w:p>
      <w:r>
        <w:rPr>
          <w:b/>
        </w:rPr>
        <w:t xml:space="preserve">Ergebnis: </w:t>
      </w:r>
      <w:r>
        <w:t>Bei Patienten ≥70 Jahren: sofortige Revaskularisierung führte zu höherer Rate des primären Endpunkts (all-cause death, nonfatal MI, oder ungeplante Revaskularisierung) mit HR 1,68 (95%-KI 1,06–2,69; p=0,029) gegenüber gestaffelter Strategie. Bei Patienten &lt;70 Jahren kein Unterschied (HR 0,80; p=0,470). Diese Interaktion deutet darauf hin, dass ältere Patienten von gestaffelter Revaskularisierung profitieren.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vergleichbar mit europäischen Leitlinien zu STEMI-Management</w:t>
      </w:r>
    </w:p>
    <w:p>
      <w:r>
        <w:rPr>
          <w:color w:val="5A7D3A"/>
          <w:sz w:val="18"/>
        </w:rPr>
        <w:t>https://pubmed.ncbi.nlm.nih.gov/42925297/</w:t>
      </w:r>
    </w:p>
    <w:p>
      <w:pPr>
        <w:pStyle w:val="Heading2"/>
      </w:pPr>
      <w:r>
        <w:t>Pulsed-Field-Ablation: Same-Day-Discharge möglich mit guter Sicherheit</w:t>
      </w:r>
    </w:p>
    <w:p>
      <w:r>
        <w:rPr>
          <w:i/>
          <w:color w:val="666666"/>
          <w:sz w:val="18"/>
        </w:rPr>
        <w:t>Ha FJ et al.  ·  Europace  ·  23.10.2026  ·  PMID 42921970</w:t>
      </w:r>
    </w:p>
    <w:p>
      <w:r>
        <w:t>Multizentrische Analyse von 240 Patienten mit Vorhofflimmern, die nach Pulsed-Field-Ablation (PFA) am selben Tag entlassen wurden; Erfassung von Sicherheit, Effektivität und Kostenaspekten in der SENTINEL Registry.</w:t>
      </w:r>
    </w:p>
    <w:p>
      <w:r>
        <w:rPr>
          <w:b/>
        </w:rPr>
        <w:t xml:space="preserve">Ergebnis: </w:t>
      </w:r>
      <w:r>
        <w:t>Same-Day-Discharge nach PFA war durchführbar mit niedriger Komplikationsrate. Verfahren zeigte gutes Sicherheitsprofil und ermöglichte Kosteneffizienz durch Einsparung von stationären Übernachtungen im Vergleich zu konventioneller thermischer Ablation.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Neuseeland, mit europäischen Zentren beteiligt; übertragbar auf deutsche Struktur für Rhythmologie</w:t>
      </w:r>
    </w:p>
    <w:p>
      <w:r>
        <w:rPr>
          <w:color w:val="5A7D3A"/>
          <w:sz w:val="18"/>
        </w:rPr>
        <w:t>https://pubmed.ncbi.nlm.nih.gov/42921970/</w:t>
      </w:r>
    </w:p>
    <w:p>
      <w:pPr>
        <w:pStyle w:val="Heading2"/>
      </w:pPr>
      <w:r>
        <w:t>Telemedizin-gestützte AF-Versorgung auf dem Land: Trend zu weniger Ereignissen</w:t>
      </w:r>
    </w:p>
    <w:p>
      <w:r>
        <w:rPr>
          <w:i/>
          <w:color w:val="666666"/>
          <w:sz w:val="18"/>
        </w:rPr>
        <w:t>Liu W et al.  ·  Heart Rhythm  ·  22.10.2026  ·  PMID 42913979</w:t>
      </w:r>
    </w:p>
    <w:p>
      <w:r>
        <w:t>Sekundäranalyse der MIRACLE-AF-Studie mit 1039 älteren Patienten auf dem Land (≥65 Jahre, durchschn. 75,8 J.) über 36 Monate: Effekt eines dorfarztzentrierten Telemedizin-basierten integrierten Versorgungsmodells versus Standard-Nachsorge auf rezidivierende kardiovaskuläre Ereignisse bei Vorhofflimmern.</w:t>
      </w:r>
    </w:p>
    <w:p>
      <w:r>
        <w:rPr>
          <w:b/>
        </w:rPr>
        <w:t xml:space="preserve">Ergebnis: </w:t>
      </w:r>
      <w:r>
        <w:t>Intervention: 118 Ereignisse in 82 Patienten (15,65 %) versus Kontrolle 173 Ereignisse in 122 Patienten (23,69 %). Ereignisrate 6,75 versus 9,11 pro 100 Patientenjahre. HR 0,76 (95%-KI 0,583–1,004; p=0,053) – trend zu Vorteil, aber statistische Signifikanz nicht erreicht. Konsistente Favorisierung der Intervention über alle Ereignistypen.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ländliche Versorgungsstruktur; Modell auf deutsche Land- und Hausarztpraxen mit Telemedizin übertragbar</w:t>
      </w:r>
    </w:p>
    <w:p>
      <w:r>
        <w:rPr>
          <w:color w:val="5A7D3A"/>
          <w:sz w:val="18"/>
        </w:rPr>
        <w:t>https://pubmed.ncbi.nlm.nih.gov/42913979/</w:t>
      </w:r>
    </w:p>
    <w:p>
      <w:pPr>
        <w:pStyle w:val="Heading2"/>
      </w:pPr>
      <w:r>
        <w:t>Trainingsblutdruck zur Fitness normalisiert Prognose bei Verdacht auf KHK</w:t>
      </w:r>
    </w:p>
    <w:p>
      <w:r>
        <w:rPr>
          <w:i/>
          <w:color w:val="666666"/>
          <w:sz w:val="18"/>
        </w:rPr>
        <w:t>Takafuji M et al.  ·  Open Heart  ·  21.10.2026  ·  PMID 42906952</w:t>
      </w:r>
    </w:p>
    <w:p>
      <w:r>
        <w:t>Prospektive Analyse von 530 Patienten aus der CE-MARC-Studie mit Belastungstestung, invasiver Koronarangiographie und kardiovaskulärem Magnetresonanzimaging; Beziehung zwischen systolischem Blutdruck während Belastung indexiert auf Fitness (SBP/METpeak) und koronarer Erkrankung.</w:t>
      </w:r>
    </w:p>
    <w:p>
      <w:r>
        <w:rPr>
          <w:b/>
        </w:rPr>
        <w:t xml:space="preserve">Ergebnis: </w:t>
      </w:r>
      <w:r>
        <w:t>Ein SBP/METpeak ≥18 mm Hg/METs war bei 58,5 % der Patienten vorhanden und war mit myokardialer Ischämie, Narbe und MACE assoziiert (adjustierte HR 1,02 pro Einheit; 95%-KI 1,00–1,03; p=0,012). Der Effekt wurde hauptsächlich durch geringere Belastungskapazität anstelle von erhöhtem Spitzenblutdruck getrieben.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deutsche Leitlinien unterscheiden Belastungsblutdruck nach Fitness; Marker erfordert externe Validierung</w:t>
      </w:r>
    </w:p>
    <w:p>
      <w:r>
        <w:rPr>
          <w:color w:val="5A7D3A"/>
          <w:sz w:val="18"/>
        </w:rPr>
        <w:t>https://pubmed.ncbi.nlm.nih.gov/42906952/</w:t>
      </w:r>
    </w:p>
    <w:p>
      <w:pPr>
        <w:pStyle w:val="Heading2"/>
      </w:pPr>
      <w:r>
        <w:t>MASLD bei Herzinsuffizienz: jung, weiblich, bessere Prognose</w:t>
      </w:r>
    </w:p>
    <w:p>
      <w:r>
        <w:rPr>
          <w:i/>
          <w:color w:val="666666"/>
          <w:sz w:val="18"/>
        </w:rPr>
        <w:t>Chew NW et al.  ·  Open Heart  ·  21.10.2026  ·  PMID 42906951</w:t>
      </w:r>
    </w:p>
    <w:p>
      <w:r>
        <w:t>Registerstudie (ASIAN-HF, CDARS, BIOSTAT-CHF) mit insgesamt über 2000 Patienten zur Prävalenz und klinischen Korrelaten metabolischer Funktionsstörung-assoziierter steatotischer Lebererkrankung (MASLD) in der Herzinsuffizienz-Population.</w:t>
      </w:r>
    </w:p>
    <w:p>
      <w:r>
        <w:rPr>
          <w:b/>
        </w:rPr>
        <w:t xml:space="preserve">Ergebnis: </w:t>
      </w:r>
      <w:r>
        <w:t>In ASIAN-HF: 34,4 % (927/2698) der HF-Patienten hatten MASLD. MASLD-Patienten waren jünger, häufiger weiblich, häufiger mit HFpEF. All-cause mortality war niedriger mit MASLD (7,1 vs. 11,7 %; p=0,001; adjustierte HR 0,58, 95%-KI 0,39–0,86). Befund blieb in CDARS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Hongkong, Europa; metabolisches Phänotypisieren wird relevant für HF-Phänotypen, auch in Deutschland zutreffend</w:t>
      </w:r>
    </w:p>
    <w:p>
      <w:r>
        <w:rPr>
          <w:color w:val="5A7D3A"/>
          <w:sz w:val="18"/>
        </w:rPr>
        <w:t>https://pubmed.ncbi.nlm.nih.gov/42906951/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