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01.10.2026  |  5 Studien  |  kardio.m-vf.de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Kardiovaskulär-Metabolische Überlappung bei hospitalisierten Herzinsuffizienz-Patienten: stark assoziiert mit Mortalität und Neuaufnahmen</w:t>
      </w:r>
    </w:p>
    <w:p>
      <w:r>
        <w:rPr>
          <w:i/>
          <w:color w:val="666666"/>
          <w:sz w:val="18"/>
        </w:rPr>
        <w:t>Kittipibul V et al.  ·  JAMA Cardiol  ·  30.09.2026  ·  PMID 42814450</w:t>
      </w:r>
    </w:p>
    <w:p>
      <w:r>
        <w:t>Retrospektive Kohortenstudie US-weit (GWTG-HF-Register 2019-2025): 725.205 hospitalierte HI-Patienten analysiert zur Prävalenz und Prognoserelevanz von bis zu 4 kardiovaskulär-metabolischen Komorbiditäten.</w:t>
      </w:r>
    </w:p>
    <w:p>
      <w:r>
        <w:rPr>
          <w:b/>
        </w:rPr>
        <w:t xml:space="preserve">Ergebnis: </w:t>
      </w:r>
      <w:r>
        <w:t>71,9% hatten ≥2 CKM-Komorbiditäten (ACVD, CKD, Diabetes, Adipositas), nur 6,7% isolierte HI. Mit jeder zusätzlichen Komorbidität stieg die In-Hospital-Mortalität (z. B. 4 CKM bei HFrEF aOR 5,08 vs. nur HI), ebenso 1-Jahres-Mortalität (aHR 2,10 bei 4 CKM) und HI-Readmission (aHR 2,33), stärker in HFrEF als HFpEF.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USA-Registry mit übertragbaren Patienten-Merkmalmustern; Komorbidität als unabhängiger Prognosefaktor.</w:t>
      </w:r>
    </w:p>
    <w:p>
      <w:r>
        <w:rPr>
          <w:color w:val="5A7D3A"/>
          <w:sz w:val="18"/>
        </w:rPr>
        <w:t>https://pubmed.ncbi.nlm.nih.gov/42814450/</w:t>
      </w:r>
    </w:p>
    <w:p>
      <w:pPr>
        <w:pStyle w:val="Heading2"/>
      </w:pPr>
      <w:r>
        <w:t>Fixdosis-HFrEF-Polypill erhöht Therapietreue, Sri-Lanka-RCT zeigt Sicherheit</w:t>
      </w:r>
    </w:p>
    <w:p>
      <w:r>
        <w:rPr>
          <w:i/>
          <w:color w:val="666666"/>
          <w:sz w:val="18"/>
        </w:rPr>
        <w:t>Agarwal A et al.  ·  JAMA Cardiol  ·  30.09.2026  ·  PMID 42814433</w:t>
      </w:r>
    </w:p>
    <w:p>
      <w:r>
        <w:t>Randomisierte Studie aus Sri Lanka zur Machbarkeit, Medication-Adherence und Sicherheit einer neuen Mehrfach-Wirkstoff-Fixdosis gegen übliche HFrEF-Therapie.</w:t>
      </w:r>
    </w:p>
    <w:p>
      <w:r>
        <w:rPr>
          <w:b/>
        </w:rPr>
        <w:t xml:space="preserve">Ergebnis: </w:t>
      </w:r>
      <w:r>
        <w:t>Fixdosis-Polypill zeigte Machbarkeit und Sicherheit; primärer Endpunkt: Verbesserte Medication-Adherence und Sicherheitsprofil. Detaillierte Zwischenergebnisse im Abstract nicht vollständig berichtet, aber Durchführbarkeit in einkommensschwacherem Umfeld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Südostasiatischer Versorgungskontext; Modell für Polypill-Implementierung in Ländern mit niedrigen bis mittleren Ressourcen.</w:t>
      </w:r>
    </w:p>
    <w:p>
      <w:r>
        <w:rPr>
          <w:color w:val="5A7D3A"/>
          <w:sz w:val="18"/>
        </w:rPr>
        <w:t>https://pubmed.ncbi.nlm.nih.gov/42814433/</w:t>
      </w:r>
    </w:p>
    <w:p>
      <w:pPr>
        <w:pStyle w:val="Heading2"/>
      </w:pPr>
      <w:r>
        <w:t>Globale Herzinsuffizienz-Last 1990-2023: 56 Millionen Fälle mit großer geographischer Variation</w:t>
      </w:r>
    </w:p>
    <w:p>
      <w:r>
        <w:rPr>
          <w:i/>
          <w:color w:val="666666"/>
          <w:sz w:val="18"/>
        </w:rPr>
        <w:t>Johnson CO et al.  ·  JAMA Cardiol  ·  30.09.2026  ·  PMID 42814432</w:t>
      </w:r>
    </w:p>
    <w:p>
      <w:r>
        <w:t>Global Burden of Disease-Analyse der Herzinsuffizienz weltweit über drei Jahrzehnte mit Schätzungen nach Alter, Geschlecht, Ort und Ätiologie.</w:t>
      </w:r>
    </w:p>
    <w:p>
      <w:r>
        <w:rPr>
          <w:b/>
        </w:rPr>
        <w:t xml:space="preserve">Ergebnis: </w:t>
      </w:r>
      <w:r>
        <w:t>56,0 Mio. Herzinsuffizienz-Fälle global 2023 (95%-UI 49,9-62,2). Ischämische und hypertensive Herzerkrankung dominieren bei älteren Erwachsenen, regionale Unterschiede in Ätiologien: Rheumamitbeteiligung in Süd-/Südostasien, Alkoholbedingte HI in Osteuropa, Chagas in Lateinamerika. Eine Prävention durch Reduktion modifizierbarer Risikofaktoren wird als möglich dargestellt.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umfassend erhobene Daten zu Krankheitslast und Ätiologien; Grundlage für Priorisierung präventiver Interventionen.</w:t>
      </w:r>
    </w:p>
    <w:p>
      <w:r>
        <w:rPr>
          <w:color w:val="5A7D3A"/>
          <w:sz w:val="18"/>
        </w:rPr>
        <w:t>https://pubmed.ncbi.nlm.nih.gov/42814432/</w:t>
      </w:r>
    </w:p>
    <w:p>
      <w:pPr>
        <w:pStyle w:val="Heading2"/>
      </w:pPr>
      <w:r>
        <w:t>Linksventrikulärer Thrombus nach Herzinfarkt: DOAC versus VKA ohne Unterschied bei Thrombuslösung</w:t>
      </w:r>
    </w:p>
    <w:p>
      <w:r>
        <w:rPr>
          <w:i/>
          <w:color w:val="666666"/>
          <w:sz w:val="18"/>
        </w:rPr>
        <w:t>Maslarska-Martens M et al.  ·  Clin Res Cardiol  ·  30.09.2026  ·  PMID 42814115</w:t>
      </w:r>
    </w:p>
    <w:p>
      <w:r>
        <w:t>Retrospektive Kohortenstudie an einer deutschen Universitätsklinik (Freiburg): 19.964 MI-Patienten gescreent, 166 (0,83%) mit linksventrikulärem Thrombus behandelt mit oraler Antikoagulation.</w:t>
      </w:r>
    </w:p>
    <w:p>
      <w:r>
        <w:rPr>
          <w:b/>
        </w:rPr>
        <w:t xml:space="preserve">Ergebnis: </w:t>
      </w:r>
      <w:r>
        <w:t>79% komplette Thrombuslösung (n=120 mit Follow-up); kein statistisch signifikanter Unterschied zwischen DOAC (87%) und VKA (79%; p=0,42). 38 klinische Ereignisse in 12 Monaten ohne signifikante Unterschiede zwischen Gruppen. DOACs nahmen über Zeit zu.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von 2008-2022, vergleichbare Dokumentationspflichten und Behandlungsstandards.</w:t>
      </w:r>
    </w:p>
    <w:p>
      <w:r>
        <w:rPr>
          <w:color w:val="5A7D3A"/>
          <w:sz w:val="18"/>
        </w:rPr>
        <w:t>https://pubmed.ncbi.nlm.nih.gov/42814115/</w:t>
      </w:r>
    </w:p>
    <w:p>
      <w:pPr>
        <w:pStyle w:val="Heading2"/>
      </w:pPr>
      <w:r>
        <w:t>Neue Effektivitäts- und Sicherheits-Endpunkte für Vorhofflimmer-Ablations-Studien definiert</w:t>
      </w:r>
    </w:p>
    <w:p>
      <w:r>
        <w:rPr>
          <w:i/>
          <w:color w:val="666666"/>
          <w:sz w:val="18"/>
        </w:rPr>
        <w:t>Wang PJ et al.  ·  Circ Arrhythm Electrophysiol  ·  29.09.2026  ·  PMID 42808156</w:t>
      </w:r>
    </w:p>
    <w:p>
      <w:r>
        <w:t>AFA-ARC Initiative: Internationale Arbeitsgruppe mit FDA, HRS und Patienten-Vertreter überarbeitete Studiendesign und Endpunkte für klinische Prüfungen der Katheter-Ablation bei symptomatischem Vorhofflimmer.</w:t>
      </w:r>
    </w:p>
    <w:p>
      <w:r>
        <w:rPr>
          <w:b/>
        </w:rPr>
        <w:t xml:space="preserve">Ergebnis: </w:t>
      </w:r>
      <w:r>
        <w:t>Konsensus-Dokument mit revidierten Effektivitäts- und Sicherheits-Endpunkten sowie Studiendesign-Empfehlungen für AF-Ablations-Studien bei paroxysmalem, persistierendem und langjährig persistierendem Vorhofflimmer. Von der Heart Rhythm Society gebilligt.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Expert:innen-Konvention mit FDA; Standards übertragbar auf deutsche und europäische Studienplanung.</w:t>
      </w:r>
    </w:p>
    <w:p>
      <w:r>
        <w:rPr>
          <w:color w:val="5A7D3A"/>
          <w:sz w:val="18"/>
        </w:rPr>
        <w:t>https://pubmed.ncbi.nlm.nih.gov/42808156/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