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12.10.2026  |  6 Studien  |  kardio.m-vf.de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V-Wellen in HFpEF erhöhen RV-Nachlast und Hospitalisierungsrisiko</w:t>
      </w:r>
    </w:p>
    <w:p>
      <w:r>
        <w:rPr>
          <w:i/>
          <w:color w:val="666666"/>
          <w:sz w:val="18"/>
        </w:rPr>
        <w:t>Chaikijurajai T et al.  ·  Circulation  ·  11.10.2026  ·  PMID 42860037</w:t>
      </w:r>
    </w:p>
    <w:p>
      <w:r>
        <w:t>Retrospektive Analyse von 1.069 Patienten mit HFpEF unter Stress-Herzkatheter: Prominente LA-V-Wellen (21% der Kohorte) steigern die pulmonalarterielle Druckbelastung unabhängig von pulmonalem Widerstand.</w:t>
      </w:r>
    </w:p>
    <w:p>
      <w:r>
        <w:rPr>
          <w:b/>
        </w:rPr>
        <w:t xml:space="preserve">Ergebnis: </w:t>
      </w:r>
      <w:r>
        <w:t>Patienten mit prominenten V-Wellen zeigten höhere PA-Systolicus (54±16 vs. 38±12 mmHg, p&lt;0,001), niedrigere PA-Compliance (3,03 vs. 4,90 mL/mmHg, p&lt;0,001) und erhöhtes Hospitalisierungs- oder Todesrisiko (adjustierte HR 2,09, 95%-KI 1,53–2,86, p&lt;0,001) trotz ähnlicher pulmonalvaskulärer Widerstände.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Invasive Hämodynamik unter Belastung, Methodenvalidierung; begrenzt auf spezialisierte Zentren</w:t>
      </w:r>
    </w:p>
    <w:p>
      <w:r>
        <w:rPr>
          <w:color w:val="5A7D3A"/>
          <w:sz w:val="18"/>
        </w:rPr>
        <w:t>https://pubmed.ncbi.nlm.nih.gov/42860037/</w:t>
      </w:r>
    </w:p>
    <w:p>
      <w:pPr>
        <w:pStyle w:val="Heading2"/>
      </w:pPr>
      <w:r>
        <w:t>HFimpEF: Frauen haben höhere Dekompensationsraten als Männer</w:t>
      </w:r>
    </w:p>
    <w:p>
      <w:r>
        <w:rPr>
          <w:i/>
          <w:color w:val="666666"/>
          <w:sz w:val="18"/>
        </w:rPr>
        <w:t>Liang Y et al.  ·  JACC Heart Fail  ·  08.10.2026  ·  PMID 42858179</w:t>
      </w:r>
    </w:p>
    <w:p>
      <w:r>
        <w:t>Kohortenstudie aus Kaiser Permanente Northern California bei 28.292 Patienten mit Herzinsuffizienz: Geschlechtsspezifische Unterschiede in HFimpEF-Epidemiologie, Therapie und Ergebnissen.</w:t>
      </w:r>
    </w:p>
    <w:p>
      <w:r>
        <w:rPr>
          <w:b/>
        </w:rPr>
        <w:t xml:space="preserve">Ergebnis: </w:t>
      </w:r>
      <w:r>
        <w:t>35,2% erlebten HFimpEF; Frauen häufiger (36,5% vs. 34,5%, p&lt;0,0001). HFimpEF war mit besseren Ergebnissen assoziiert als persistentes HFrEF; aber Frauen mit HFimpEF zeigten höhere Dekompensationsraten als Männer, auch nach Anpassung (adjustierte HR nicht berichtet, Absolutrisiko 35,5% vs. 27,1%,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US-amerikanisches Krankenversicherungssystem; Geschlechtsdisparitäten universell relevant</w:t>
      </w:r>
    </w:p>
    <w:p>
      <w:r>
        <w:rPr>
          <w:color w:val="5A7D3A"/>
          <w:sz w:val="18"/>
        </w:rPr>
        <w:t>https://pubmed.ncbi.nlm.nih.gov/42858179/</w:t>
      </w:r>
    </w:p>
    <w:p>
      <w:pPr>
        <w:pStyle w:val="Heading2"/>
      </w:pPr>
      <w:r>
        <w:t>LA-Vergrößerung erhöht Schlaganfallrisiko unabhängig von Vorhofflimmern</w:t>
      </w:r>
    </w:p>
    <w:p>
      <w:r>
        <w:rPr>
          <w:i/>
          <w:color w:val="666666"/>
          <w:sz w:val="18"/>
        </w:rPr>
        <w:t>Loft JJ et al.  ·  J Am Heart Assoc  ·  10.10.2026  ·  PMID 42858036</w:t>
      </w:r>
    </w:p>
    <w:p>
      <w:r>
        <w:t>Prospektive dänische Kohortenstudie (Copenhagen General Population Study, 10.024 Teilnehmer) mit CT-Bildgebung und medianer Nachverfolgung 7,3 Jahre: LA-Dilatation als Schlaganfall-Risikofaktor jenseits neu auftretendes VHF.</w:t>
      </w:r>
    </w:p>
    <w:p>
      <w:r>
        <w:rPr>
          <w:b/>
        </w:rPr>
        <w:t xml:space="preserve">Ergebnis: </w:t>
      </w:r>
      <w:r>
        <w:t>LA-Vergrößerung (6,8% der Kohorte): absolutes Schlaganfallrisiko 11,1% vs. 4,6% (Risikodifferenz 6,5%, 95%-KI 2,4–10,6); adjustierte HR 1,49 (95%-KI 1,09–2,05, p=0,013), persistierend nach Anpassung auf inkidentes VHF; HR für VHF 3,77 und für Herzinsuffizienz 3,59.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Gesundheitssystem, vergleichbarer Versicherungsrahmen; CT-Screening nicht Routine in Deutschland</w:t>
      </w:r>
    </w:p>
    <w:p>
      <w:r>
        <w:rPr>
          <w:color w:val="5A7D3A"/>
          <w:sz w:val="18"/>
        </w:rPr>
        <w:t>https://pubmed.ncbi.nlm.nih.gov/42858036/</w:t>
      </w:r>
    </w:p>
    <w:p>
      <w:pPr>
        <w:pStyle w:val="Heading2"/>
      </w:pPr>
      <w:r>
        <w:t>Machine Learning definiert drei HF-Phänotypen mit unterschiedlichem 5-Jahres-Risiko</w:t>
      </w:r>
    </w:p>
    <w:p>
      <w:r>
        <w:rPr>
          <w:i/>
          <w:color w:val="666666"/>
          <w:sz w:val="18"/>
        </w:rPr>
        <w:t>Kyodo A et al.  ·  J Am Heart Assoc  ·  10.10.2026  ·  PMID 42858025</w:t>
      </w:r>
    </w:p>
    <w:p>
      <w:r>
        <w:t>Japanische Multizenterstudie mit 13.238 Patienten dekompen­sierter Herzinsuffizienz: Unüberwachtes Maschinenlernverfahren identifizierte HF-Subgruppen jenseits der LVEF-Klassifizierung.</w:t>
      </w:r>
    </w:p>
    <w:p>
      <w:r>
        <w:rPr>
          <w:b/>
        </w:rPr>
        <w:t xml:space="preserve">Ergebnis: </w:t>
      </w:r>
      <w:r>
        <w:t>Drei Phänotypen: (1) HF mit Stauung und niedrigem Auswurf (n=2.638, HR 1,60 für primären Endpunkt vs. Gruppe 3), (2) HF mit Nachlast­mismatch (n=3.462, HR 0,65), (3) HFpEF-ähnlich (n=7.138). ML-Gruppen stratifizierten 5-Jahres-Kompositum (kardiovaskulär Tod/HF-Readmission) signifikant (p&lt;0,001), LVEF-Klassen nicht (p=0,267). Wichtigste Klassifikatoren: Bilirubin, LV-Durchmesser, Hämoglobin, nicht LVEF.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nationales Register; Grundkonzept phänotypisch-biologisch, nicht settings-abhängig</w:t>
      </w:r>
    </w:p>
    <w:p>
      <w:r>
        <w:rPr>
          <w:color w:val="5A7D3A"/>
          <w:sz w:val="18"/>
        </w:rPr>
        <w:t>https://pubmed.ncbi.nlm.nih.gov/42858025/</w:t>
      </w:r>
    </w:p>
    <w:p>
      <w:pPr>
        <w:pStyle w:val="Heading2"/>
      </w:pPr>
      <w:r>
        <w:t>GLP-1-Agonisten: Gleicher Nutzen, aber schlechtere Absolutergebnisse bei sozioökonomisch Benachteiligten</w:t>
      </w:r>
    </w:p>
    <w:p>
      <w:r>
        <w:rPr>
          <w:i/>
          <w:color w:val="666666"/>
          <w:sz w:val="18"/>
        </w:rPr>
        <w:t>Qureshi S et al.  ·  Am J Cardiol  ·  09.10.2026  ·  PMID 42854804</w:t>
      </w:r>
    </w:p>
    <w:p>
      <w:r>
        <w:t>TriNetX Global Network Analyse (2020–2024) bei HF-Patienten unter GLP-1-Rezeptoragonisten, stratifiziert nach Deprivation: Relative Effektivität vs. absolute Outcome-Disparität.</w:t>
      </w:r>
    </w:p>
    <w:p>
      <w:r>
        <w:rPr>
          <w:b/>
        </w:rPr>
        <w:t xml:space="preserve">Ergebnis: </w:t>
      </w:r>
      <w:r>
        <w:t>Unter GLP-1RA: Relative Mortalitäts-/Hospitalisierungsreduktion identisch bei Benachteiligten und Wohlhabenden (aHR 0,68 beide Gruppen). Aber Benachteiligte Nutzer zeigten höhere Absolutraten (35,5% vs. 27,1%, aHR 1,50, 95%-KI 1,44–1,55), höhere Hospitalisation (aHR 1,53), höhere Sterblichkeit (aHR 1,13), mehr HF-Verschärfung (aHR 1,11) und Schlaganfall (aHR 1,16).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TriNetX-Daten, Inequities universal; Versorgungsforschung für Kostenträger</w:t>
      </w:r>
    </w:p>
    <w:p>
      <w:r>
        <w:rPr>
          <w:color w:val="5A7D3A"/>
          <w:sz w:val="18"/>
        </w:rPr>
        <w:t>https://pubmed.ncbi.nlm.nih.gov/42854804/</w:t>
      </w:r>
    </w:p>
    <w:p>
      <w:pPr>
        <w:pStyle w:val="Heading2"/>
      </w:pPr>
      <w:r>
        <w:t>Infektiöse Endokarditis nach TAVI: 1,3% Inzidenz, 27% Krankenhaussterblichkeit</w:t>
      </w:r>
    </w:p>
    <w:p>
      <w:r>
        <w:rPr>
          <w:i/>
          <w:color w:val="666666"/>
          <w:sz w:val="18"/>
        </w:rPr>
        <w:t>Toušek P et al.  ·  Int J Cardiol  ·  01.12.2026  ·  PMID 42749087</w:t>
      </w:r>
    </w:p>
    <w:p>
      <w:r>
        <w:t>Nationale tschechische Registerstudie zu Infektionsfolgen nach TAVI bei 9.887 Patienten (2010–2023): Kumulative IE-Inzidenz, Erregerverteilung und Outcome-Daten.</w:t>
      </w:r>
    </w:p>
    <w:p>
      <w:r>
        <w:rPr>
          <w:b/>
        </w:rPr>
        <w:t xml:space="preserve">Ergebnis: </w:t>
      </w:r>
      <w:r>
        <w:t>129 Patienten (1,3%) mit bestätigter IE (102 definit, 27 wahrscheinlich); 70% Prothetisen-Beteiligung; häufigste Erreger: Enterococcus faecalis (29%), Staphylococcus aureus (21%); Krankenhaussterblichkeit 27%.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Tschechisches Gesundheitssystem, vergleichbare Dokumentation; Ergebnisse auf europäische Zentren übertragbar</w:t>
      </w:r>
    </w:p>
    <w:p>
      <w:r>
        <w:rPr>
          <w:color w:val="5A7D3A"/>
          <w:sz w:val="18"/>
        </w:rPr>
        <w:t>https://pubmed.ncbi.nlm.nih.gov/42749087/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