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28.10.2026  |  7 Studien  |  kardio.m-vf.de</w:t>
      </w:r>
    </w:p>
    <w:p>
      <w:pPr>
        <w:pStyle w:val="Heading1"/>
      </w:pPr>
      <w:r>
        <w:t>Aufgenommen am 28.10.2026</w:t>
      </w:r>
    </w:p>
    <w:p>
      <w:pPr>
        <w:pStyle w:val="Heading2"/>
      </w:pPr>
      <w:r>
        <w:t>Linker Schenkelblock-Pacing überlegen bei Auswurffraktion und mechanischer Synchronie</w:t>
      </w:r>
    </w:p>
    <w:p>
      <w:r>
        <w:rPr>
          <w:i/>
          <w:color w:val="666666"/>
          <w:sz w:val="18"/>
        </w:rPr>
        <w:t>Huang X et al.  ·  Heart Rhythm  ·  27.10.2026  ·  PMID 42946317</w:t>
      </w:r>
    </w:p>
    <w:p>
      <w:r>
        <w:t>Prospektive Pilot-Vergleichsstudie an 14 Patienten mit reduzierter EF und komplettem Linksschenkelblock: Akute Effekte von Linker-Schenkel-Pacing (LBBP) vs. Linksventrikulärer-Septal-Pacing (LVSP) auf Mechanik und Resynchronisierung per Echokardiographie und EKG.</w:t>
      </w:r>
    </w:p>
    <w:p>
      <w:r>
        <w:rPr>
          <w:b/>
        </w:rPr>
        <w:t xml:space="preserve">Ergebnis: </w:t>
      </w:r>
      <w:r>
        <w:t>Beide Pacing-Modi reduzierten QRS-Dauer und LV-Aktivierungszeit vs. LBBB (p&lt;0,001); LVSP zeigte breiteres QRS als LBBP (p&lt;0,001). LBBP zeigte bessere mechanische Synchronie (SDI) als LVSP, beide besser als LBBB (alle p&lt;0,001). EF stieg mit beiden Modi, stärker bei LBBP als LVSP. RV-Funktion unverändert in allen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CRT-Mechanik universal; für deutsche Schrittmacher-Zentren bei Resynchronisations-Therapie relevant.</w:t>
      </w:r>
    </w:p>
    <w:p>
      <w:r>
        <w:rPr>
          <w:color w:val="5A7D3A"/>
          <w:sz w:val="18"/>
        </w:rPr>
        <w:t>https://pubmed.ncbi.nlm.nih.gov/42946317/</w:t>
      </w:r>
    </w:p>
    <w:p>
      <w:pPr>
        <w:pStyle w:val="Heading2"/>
      </w:pPr>
      <w:r>
        <w:t>Subkutane Furosemid-Infusion zuhause bei HF + chronischer Nierenkrankheit: Machbarkeitsstudie mit Rekrutierung laufend</w:t>
      </w:r>
    </w:p>
    <w:p>
      <w:r>
        <w:rPr>
          <w:i/>
          <w:color w:val="666666"/>
          <w:sz w:val="18"/>
        </w:rPr>
        <w:t>Tumelty E et al.  ·  ESC Heart Fail  ·  27.10.2026  ·  PMID 42945463</w:t>
      </w:r>
    </w:p>
    <w:p>
      <w:r>
        <w:t>Prospektive britische Machbarkeitsstudie (Stage 1: 200 Patienten mit HF und CKD unter Monitoring; Stage 2: 80 mit Flüssigkeitsüberlauf randomisiert zu Heimbehandlung mit subkutanem Furosemid vs. Standardcare), Primäres Outcome Rekrutierung, Bindung und Adhärenz.</w:t>
      </w:r>
    </w:p>
    <w:p>
      <w:r>
        <w:rPr>
          <w:b/>
        </w:rPr>
        <w:t xml:space="preserve">Ergebnis: </w:t>
      </w:r>
      <w:r>
        <w:t>Studienprotokoll; Rekrutierung und Retentionsergebnisse werden erwartet. Ziel: Bewertung der Durchführbarkeit einer randomisierten Studie zu subkutanem Furosemid zur Reduktion von Krankenhauseinweisungen. Tägliche Gewichts- und Vitalzeichen-Überwachung und Kalium-Kontrollen geplant.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 (NHS), vergleichbares Versicherungssystem; Modell für deutsche Heim-Diuretika-Programme adaptierbar.</w:t>
      </w:r>
    </w:p>
    <w:p>
      <w:r>
        <w:rPr>
          <w:color w:val="5A7D3A"/>
          <w:sz w:val="18"/>
        </w:rPr>
        <w:t>https://pubmed.ncbi.nlm.nih.gov/42945463/</w:t>
      </w:r>
    </w:p>
    <w:p>
      <w:pPr>
        <w:pStyle w:val="Heading2"/>
      </w:pPr>
      <w:r>
        <w:t>Verwandte von Patienten mit idiopathischer Kardiomyopathie: 5 % Erkrankungsrisiko pro Jahr</w:t>
      </w:r>
    </w:p>
    <w:p>
      <w:r>
        <w:rPr>
          <w:i/>
          <w:color w:val="666666"/>
          <w:sz w:val="18"/>
        </w:rPr>
        <w:t>Paldino A et al.  ·  JACC Heart Fail  ·  23.10.2026  ·  PMID 42944674</w:t>
      </w:r>
    </w:p>
    <w:p>
      <w:r>
        <w:t>Europäische Multizenter-Kohortenstudie mit 292 Erstgradangehörigen von 118 Probanden mit dilatativer Kardiomyopathie ohne identifizierten genetischen Defekt, Verfolgung auf Erkrankungsentwicklung über median 52 Monate.</w:t>
      </w:r>
    </w:p>
    <w:p>
      <w:r>
        <w:rPr>
          <w:b/>
        </w:rPr>
        <w:t xml:space="preserve">Ergebnis: </w:t>
      </w:r>
      <w:r>
        <w:t>35 von 292 Verwandten entwickelten Erkrankung (14 bei Baseline, 21 während Follow-up) bei einer Inzidenzrate von 17 pro 1.000 Personenjahre. Prädiktoren: familiäre DCM (HR 4,24), QRS &gt;120 ms (HR 7,24), erniedrigte EF (HR 3,73), LV-Dilatation (HR 6,19). Erkrankungsalter bei Proband korrelierte mit Alter bei Manifestation in Verwandten (r=0,80). Ernsthafte kardiale Ereignisse bei 4 %.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Niederlande, Spanien – europäische Versorgungsstrukturen, deutsches Screening analog übertragbar.</w:t>
      </w:r>
    </w:p>
    <w:p>
      <w:r>
        <w:rPr>
          <w:color w:val="5A7D3A"/>
          <w:sz w:val="18"/>
        </w:rPr>
        <w:t>https://pubmed.ncbi.nlm.nih.gov/42944674/</w:t>
      </w:r>
    </w:p>
    <w:p>
      <w:pPr>
        <w:pStyle w:val="Heading2"/>
      </w:pPr>
      <w:r>
        <w:t>NT-proBNP vorhersagt Ereignisrisiko gleich stark mit und ohne Vorhofflimmern</w:t>
      </w:r>
    </w:p>
    <w:p>
      <w:r>
        <w:rPr>
          <w:i/>
          <w:color w:val="666666"/>
          <w:sz w:val="18"/>
        </w:rPr>
        <w:t>Shen L et al.  ·  JACC Heart Fail  ·  26.10.2026  ·  PMID 42944673</w:t>
      </w:r>
    </w:p>
    <w:p>
      <w:r>
        <w:t>Post-hoc-Analyse der randomisierten QUEST-Studie mit 3.110 Patienten mit Herzinsuffizienz und reduzierter Auswurffraktion (HFrEF), Behandlung mit chinesischem Phytopharmakon vs. Placebo, Stratifizierung nach NT-proBNP-Quartilen und Vorhofflimmern-Status.</w:t>
      </w:r>
    </w:p>
    <w:p>
      <w:r>
        <w:rPr>
          <w:b/>
        </w:rPr>
        <w:t xml:space="preserve">Ergebnis: </w:t>
      </w:r>
      <w:r>
        <w:t>Höhere NT-proBNP-Spiegel sagten erhöhtes Risiko voraus (Q4 vs. Q1: HR 4,03, 95%-KI 3,12–5,20). Prognostischer Wert von NT-proBNP war unabhängig vom Vorhofflimmern-Status konsistent (alle p-Interaktion ≥0,30). Phytopharmakon reduzierte NT-proBNP um 10 % nach 3 Monaten; Behandlungseffekt auf kardiovaskuläre Ereignisse konsistent über NT-proBNP-Spektrum.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– andere Therapie, aber NT-proBNP-Prognostik universal; deutsche Biomarker-Nutzung basiert auf vergleichbaren Mechanismen.</w:t>
      </w:r>
    </w:p>
    <w:p>
      <w:r>
        <w:rPr>
          <w:color w:val="5A7D3A"/>
          <w:sz w:val="18"/>
        </w:rPr>
        <w:t>https://pubmed.ncbi.nlm.nih.gov/42944673/</w:t>
      </w:r>
    </w:p>
    <w:p>
      <w:pPr>
        <w:pStyle w:val="Heading2"/>
      </w:pPr>
      <w:r>
        <w:t>Endovaskuläre Revaskularisierung bei kritischer Gliedischämie: 78 % Gliedrettung nach 2 Jahren</w:t>
      </w:r>
    </w:p>
    <w:p>
      <w:r>
        <w:rPr>
          <w:i/>
          <w:color w:val="666666"/>
          <w:sz w:val="18"/>
        </w:rPr>
        <w:t>Stolk DJ et al.  ·  JACC Cardiovasc Interv  ·  26.10.2026  ·  PMID 42933919</w:t>
      </w:r>
    </w:p>
    <w:p>
      <w:r>
        <w:t>Prospektives niederländisches Register mit 1.060 Gliedmaßen bei chronischer, gliedbedrohender Ischämie, die endovaskulär revaskularisiert wurden, mit Nachverfolgung der Amputation und Überleben.</w:t>
      </w:r>
    </w:p>
    <w:p>
      <w:r>
        <w:rPr>
          <w:b/>
        </w:rPr>
        <w:t xml:space="preserve">Ergebnis: </w:t>
      </w:r>
      <w:r>
        <w:t>Technischer Erfolg 92,3 %; Gliedrettung 78,4 % und amputationsfreies Überleben über 24 Monate. Rutherford-6-Patienten zeigten deutlich schlechtere Ergebnisse (HR für Gliedverlust 3,07, 95%-KI 1,89–4,99; HR für amputationsfreies Überleben 2,07, 95%-KI 1,50–2,86). Überschussrisiko in den ersten 3 Monaten bei schwerer Ischämie besonders ausgeprägt (HR 14,13).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Klinikdaten mit vergleichbarer Sozialversicherung, Übertragbarkeit auf deutsche Versorgung hoch.</w:t>
      </w:r>
    </w:p>
    <w:p>
      <w:r>
        <w:rPr>
          <w:color w:val="5A7D3A"/>
          <w:sz w:val="18"/>
        </w:rPr>
        <w:t>https://pubmed.ncbi.nlm.nih.gov/42933919/</w:t>
      </w:r>
    </w:p>
    <w:p>
      <w:pPr>
        <w:pStyle w:val="Heading2"/>
      </w:pPr>
      <w:r>
        <w:t>Rezidivierende Mitralinsuffizienz nach TEER erhöht Sterblichkeit um 43 %</w:t>
      </w:r>
    </w:p>
    <w:p>
      <w:r>
        <w:rPr>
          <w:i/>
          <w:color w:val="666666"/>
          <w:sz w:val="18"/>
        </w:rPr>
        <w:t>Pauschinger C et al.  ·  JACC Cardiovasc Interv  ·  26.10.2026  ·  PMID 42933917</w:t>
      </w:r>
    </w:p>
    <w:p>
      <w:r>
        <w:t>Deutsche retrospektive Kohortenstudie mit 461 Patienten nach erfolgreicher M-TEER, Nachverfolgung auf rezidivierende Mitralregurgitation (≥1-Grad-Zunahme) und Mortalität über mediane 3,44 Jahre.</w:t>
      </w:r>
    </w:p>
    <w:p>
      <w:r>
        <w:rPr>
          <w:b/>
        </w:rPr>
        <w:t xml:space="preserve">Ergebnis: </w:t>
      </w:r>
      <w:r>
        <w:t>Rezidivierende Mitralregurgitation trat bei 31,7 % auf (104/326 funktional, 42/135 degenerativ). 4-Jahres-Mortalität ohne Rezidiv 44,8 % vs. mit Rezidiv 56,3 % (HR 1,43; 95%-KI 1,06–1,93; p=0,019). Effekt signifikant bei degenerativer (p=0,014), nicht bei funktionaler Mitralregurgitation (p=0,11).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 Hamburg mit vollständiger Dokumentation, direkt auf deutsche Praxis übertragbar.</w:t>
      </w:r>
    </w:p>
    <w:p>
      <w:r>
        <w:rPr>
          <w:color w:val="5A7D3A"/>
          <w:sz w:val="18"/>
        </w:rPr>
        <w:t>https://pubmed.ncbi.nlm.nih.gov/42933917/</w:t>
      </w:r>
    </w:p>
    <w:p>
      <w:pPr>
        <w:pStyle w:val="Heading2"/>
      </w:pPr>
      <w:r>
        <w:t>Myeloide Zellrekrutierung verbindet Herzinsuffizienz mit sekundärer pulmonaler Hypertonie</w:t>
      </w:r>
    </w:p>
    <w:p>
      <w:r>
        <w:rPr>
          <w:i/>
          <w:color w:val="666666"/>
          <w:sz w:val="18"/>
        </w:rPr>
        <w:t>Gillan JL et al.  ·  Circ Res  ·  26.10.2026  ·  PMID 42929140</w:t>
      </w:r>
    </w:p>
    <w:p>
      <w:r>
        <w:t>Tiermodell-gestützte mechanistische Studie (Maus, Ratte) mit CCR2-Antagonist-Intervention: Nachweis, dass Monozyten-Rekrutierung nach Infarkt systemische pulmonale Gefäßumwandlung und rechtsventrikuläre Dysfunktion treibt; Validierung in menschlichen Lungenproben von PAH- und PH-LHD-Patienten.</w:t>
      </w:r>
    </w:p>
    <w:p>
      <w:r>
        <w:rPr>
          <w:b/>
        </w:rPr>
        <w:t xml:space="preserve">Ergebnis: </w:t>
      </w:r>
      <w:r>
        <w:t>CCR2-Antagonist RS102895 ab Tag 10 post-MI in Mäusen reduzierte Lungenvaskulatur-Umwandlung, RV-Druck (systolisch und diastolisch) und RV-Hypertrophie bei 6 Wochen vs. Kontrolle, ohne linksventrikuläre Herzinsuffizienz zu verbessern. Entzündliche Adhäsionsmoleküle (VCAM1, SELE) in PH-LHD-Lungengewebe erhöht.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Grundlagenarbeit mit klarem klinischem Weg (CCR2-Antagonisten als therapeutisches Ziel) an deutschen kardiologischen und pneumologischen Zentren relevant.</w:t>
      </w:r>
    </w:p>
    <w:p>
      <w:r>
        <w:rPr>
          <w:color w:val="5A7D3A"/>
          <w:sz w:val="18"/>
        </w:rPr>
        <w:t>https://pubmed.ncbi.nlm.nih.gov/42929140/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2026-10-28T06:00:00Z</dcterms:created>
  <dcterms:modified xsi:type="dcterms:W3CDTF">2026-10-28T06:00:00Z</dcterms:modified>
  <cp:category/>
</cp:coreProperties>
</file>