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19.09.2026  |  6 Studien  |  kardio.m-vf.de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Epicardiales Fett bei Vorhofflimmern: Biomarker für Rezidivrisiko</w:t>
      </w:r>
    </w:p>
    <w:p>
      <w:r>
        <w:rPr>
          <w:i/>
          <w:color w:val="666666"/>
          <w:sz w:val="18"/>
        </w:rPr>
        <w:t>Erhard N et al.  ·  Heart Rhythm  ·  18.09.2026  ·  PMID 42759859</w:t>
      </w:r>
    </w:p>
    <w:p>
      <w:r>
        <w:t>Die Studie quantifizierte mit Photon-Counting-CT das epikardiale Fettgewebe beider Vorhöfe vor Ablation bei 210 Patienten mit paroxysmaler und persistierender AF und verfolgte die Arrhythmie-Freiheit nach 12 Monaten.</w:t>
      </w:r>
    </w:p>
    <w:p>
      <w:r>
        <w:rPr>
          <w:b/>
        </w:rPr>
        <w:t xml:space="preserve">Ergebnis: </w:t>
      </w:r>
      <w:r>
        <w:t>Im linken Vorhof korrelierte ein höheres epikardiales Fettvolumen mit Rezidiven bei persistierender AF (HR 1,51 pro 10 mL Zunahme; 95%-KI 1,06–2,15), nicht jedoch bei paroxysmaler AF (HR 0,79; p für Interaktion = 0,014). Die Arrhythmie-Freiheit betrug 81,9 % bei paroxysmaler und 57,3 % bei persistierender AF (p = 0,005). Diese Biomarker-Stratifikation könnte zukünftig die Patientenauswahl und Nachsorge lenken.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 für Herz-Kreislauf-Forschung, prospektive klinische Studie mit standardisierter CT-Bildgebung</w:t>
      </w:r>
    </w:p>
    <w:p>
      <w:r>
        <w:rPr>
          <w:color w:val="5A7D3A"/>
          <w:sz w:val="18"/>
        </w:rPr>
        <w:t>https://pubmed.ncbi.nlm.nih.gov/42759859/</w:t>
      </w:r>
    </w:p>
    <w:p>
      <w:pPr>
        <w:pStyle w:val="Heading2"/>
      </w:pPr>
      <w:r>
        <w:t>Neutrophil-Lymphozyten-Verhältnis bei Herzinsuffizienz: SGLT2-Hemmer wirken unabhängig davon</w:t>
      </w:r>
    </w:p>
    <w:p>
      <w:r>
        <w:rPr>
          <w:i/>
          <w:color w:val="666666"/>
          <w:sz w:val="18"/>
        </w:rPr>
        <w:t>Pellicori P et al.  ·  ESC Heart Fail  ·  18.09.2026  ·  PMID 42759496</w:t>
      </w:r>
    </w:p>
    <w:p>
      <w:r>
        <w:t>Post-hoc-Analyse der EMPEROR-Pooled-Datenbank (9.706 Patienten mit CHF) untersuchte das Neutrophil-Lymphozyten-Verhältnis (NLR) als Marker für Inflammation und Stauung und die Effektivität von Empagliflozin nach Quintilen.</w:t>
      </w:r>
    </w:p>
    <w:p>
      <w:r>
        <w:rPr>
          <w:b/>
        </w:rPr>
        <w:t xml:space="preserve">Ergebnis: </w:t>
      </w:r>
      <w:r>
        <w:t>Höchstes NLR-Quintil (vs. niedrigstes) zeigte 27,3 % vs. 14,9 % Primärereignisse (HF-Hospitalisierung oder kardiovaskulärer Tod; adjustierte HR 1,44; 95%-KI 1,16–1,80; p = 0,001). Empagliflozin reduzierte die Primärendpunkte konsistent über alle NLR-Gruppen hinweg, und der Wirkmechanismus war vom NLR-Ausgangswert unabhängig.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Studie, europäische SGLT2i-Leitlinien-Therapie, stratifizierte Effektivität relevant</w:t>
      </w:r>
    </w:p>
    <w:p>
      <w:r>
        <w:rPr>
          <w:color w:val="5A7D3A"/>
          <w:sz w:val="18"/>
        </w:rPr>
        <w:t>https://pubmed.ncbi.nlm.nih.gov/42759496/</w:t>
      </w:r>
    </w:p>
    <w:p>
      <w:pPr>
        <w:pStyle w:val="Heading2"/>
      </w:pPr>
      <w:r>
        <w:t>Frührhythmuskontrollen bei Vorhofflimmern und Krebsgeschichte: EAST-AFNET-4-Subgruppe</w:t>
      </w:r>
    </w:p>
    <w:p>
      <w:r>
        <w:rPr>
          <w:i/>
          <w:color w:val="666666"/>
          <w:sz w:val="18"/>
        </w:rPr>
        <w:t>Ismaili D et al.  ·  Europace  ·  18.09.2026  ·  PMID 42758310</w:t>
      </w:r>
    </w:p>
    <w:p>
      <w:r>
        <w:t>Sekundäranalyse der EAST-AFNET-4-Studie verglich 216 Patienten mit Krebsgeschichte (7,8 %) gegen 2.563 ohne Krebs bezüglich Nutzen und Sicherheit einer frühen Rhythmuskontrolle.</w:t>
      </w:r>
    </w:p>
    <w:p>
      <w:r>
        <w:rPr>
          <w:b/>
        </w:rPr>
        <w:t xml:space="preserve">Ergebnis: </w:t>
      </w:r>
      <w:r>
        <w:t>Frühe Rhythmuskontrolle reduzierte die Primärendpunkte (kardiovaskulärer Tod, Schlaganfall, HF- oder Herzinfarkt-Hospitalisierung) unabhängig von Krebsgeschichte (p Interaktion = 0,23), mit 84,9 % vs. 81,8 % Sinusrhythmus nach 24 Monaten. Ein Signal für mehr Sicherheitsereignisse unter Rhythmuskontrolle bei Krebspatienten (31 % vs. 20 %; p Interaktion = 0,055) warnt vor zusätzlichen Schäden in dieser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EAST-AFNET-4: multinationales europäisches Netzwerk, deutsche Leitzentren, richtlinienstabilisierend</w:t>
      </w:r>
    </w:p>
    <w:p>
      <w:r>
        <w:rPr>
          <w:color w:val="5A7D3A"/>
          <w:sz w:val="18"/>
        </w:rPr>
        <w:t>https://pubmed.ncbi.nlm.nih.gov/42758310/</w:t>
      </w:r>
    </w:p>
    <w:p>
      <w:pPr>
        <w:pStyle w:val="Heading2"/>
      </w:pPr>
      <w:r>
        <w:t>Vorhofflimmern-Screening: Intensiveres Monitoring findet mehr Fälle, besonders bei älteren Patienten</w:t>
      </w:r>
    </w:p>
    <w:p>
      <w:r>
        <w:rPr>
          <w:i/>
          <w:color w:val="666666"/>
          <w:sz w:val="18"/>
        </w:rPr>
        <w:t>Xing LY et al.  ·  Europace  ·  18.09.2026  ·  PMID 42758309</w:t>
      </w:r>
    </w:p>
    <w:p>
      <w:r>
        <w:t>Individual-Participant-Data-Metaanalyse von 34.165 gescreenten Personen (AFFECT-EU/AF-SCREEN) verglich die Detektionsquote nach Screening-Methode und Patientenmerkmalen.</w:t>
      </w:r>
    </w:p>
    <w:p>
      <w:r>
        <w:rPr>
          <w:b/>
        </w:rPr>
        <w:t xml:space="preserve">Ergebnis: </w:t>
      </w:r>
      <w:r>
        <w:t>Die Diagnose-Quote stieg mit Screening-Intensität: Einzelnes Zeitfenster 0,83 %, intermittierendes Monitoring 5,06 %, kurzfristiges Monitoring ≤30 Tage 4,81 %, langfristiges &gt;30 Tage 30,39 %. Hohes Alter, männliches Geschlecht, Hypertonie und Herzinsuffizienz waren unabhängig mit AF-Detektion assoziiert; diese Faktoren beeinflussten das Screening-Ergebnis am meisten bei Einzelzeitpunkt-Screening.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nordamerikanische Kohorten, vergleichbar mit deutschen Screening-Programmen</w:t>
      </w:r>
    </w:p>
    <w:p>
      <w:r>
        <w:rPr>
          <w:color w:val="5A7D3A"/>
          <w:sz w:val="18"/>
        </w:rPr>
        <w:t>https://pubmed.ncbi.nlm.nih.gov/42758309/</w:t>
      </w:r>
    </w:p>
    <w:p>
      <w:pPr>
        <w:pStyle w:val="Heading2"/>
      </w:pPr>
      <w:r>
        <w:t>Herzinsuffizienz-Hospitalisierung: Mortalität 30 Tage relativ stabil, aber Ungleichheiten wachsen</w:t>
      </w:r>
    </w:p>
    <w:p>
      <w:r>
        <w:rPr>
          <w:i/>
          <w:color w:val="666666"/>
          <w:sz w:val="18"/>
        </w:rPr>
        <w:t>Usman MS et al.  ·  JACC Heart Fail  ·  16.09.2026  ·  PMID 42758064</w:t>
      </w:r>
    </w:p>
    <w:p>
      <w:r>
        <w:t>Retrospektive Kohortenstudie (Medicare 2016–2022, 4.957.054 HF-Hospitalisierungen) analysierte Trends in 30-Tages-Mortalität, Wiederaufnahme und Tage zu Hause (alive and out-of-facility).</w:t>
      </w:r>
    </w:p>
    <w:p>
      <w:r>
        <w:rPr>
          <w:b/>
        </w:rPr>
        <w:t xml:space="preserve">Ergebnis: </w:t>
      </w:r>
      <w:r>
        <w:t>30-Tages-Mortalität sank vor der Pandemie (9,01 % auf 8,38 %), stieg 2020 (9,13 %) und fiel wieder 2022 (8,49 %). Männer hatten höhere Mortalität als Frauen; Weiße höher als Schwarze. Medicare-FFS-Beneficiäre hatten konsistent höhere Mortalität als Medicare Advantage (Lücke wuchs über Zeit). Wiederaufnahmequoten sanken prä-pandemisch, platauten 2020 und sanken wieder post-pandemisch (aRR 2022 vs. 2020: 0,96).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USA-Medicare-System, nicht 1:1 übertragbar; aber Versorgungsungleichheiten relevant für deutsche DMP-Strukturen</w:t>
      </w:r>
    </w:p>
    <w:p>
      <w:r>
        <w:rPr>
          <w:color w:val="5A7D3A"/>
          <w:sz w:val="18"/>
        </w:rPr>
        <w:t>https://pubmed.ncbi.nlm.nih.gov/42758064/</w:t>
      </w:r>
    </w:p>
    <w:p>
      <w:pPr>
        <w:pStyle w:val="Heading2"/>
      </w:pPr>
      <w:r>
        <w:t>Chronische Herzinsuffizienz und LVAD: beeinträchtigte Hirnfunktion und neuronal-ischämische Marker</w:t>
      </w:r>
    </w:p>
    <w:p>
      <w:r>
        <w:rPr>
          <w:i/>
          <w:color w:val="666666"/>
          <w:sz w:val="18"/>
        </w:rPr>
        <w:t>Jungclaus MS et al.  ·  J Am Heart Assoc  ·  18.09.2026  ·  PMID 42757935</w:t>
      </w:r>
    </w:p>
    <w:p>
      <w:r>
        <w:t>Querschnittsstudie an 19 LVAD- und 13 Patienten mit fortgeschrittener CHF verglich kognitive Leistung, blutbasierte Neuronen-Biomarker (NfL, pTau181, GFAP) und Gehirn-PET-Metabolismus.</w:t>
      </w:r>
    </w:p>
    <w:p>
      <w:r>
        <w:rPr>
          <w:b/>
        </w:rPr>
        <w:t xml:space="preserve">Ergebnis: </w:t>
      </w:r>
      <w:r>
        <w:t>69 % aller Patienten zeigten kognitive Dysfunktion; Biomarker waren in beiden Gruppen erhöht (medianes NfL 45,7 pg/mL, pTau181 23,1 pg/mL, GFAP 191,3 pg/mL). LVAD-Patienten wiesen mehr Hypometabolismus-Volumen auf (1,03 mL vs. 0 mL bei CHF; p = 0,003). Dieser Multi-Modal-Befund deutet auf potenziell reversible zerebrovaskuläre Komplikationen hin, die bei LVAD-Patienten zu monitoren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Spezialkliniken erfassen ähnliche Komplikationen, Grundlage für strukturierte Überwachung</w:t>
      </w:r>
    </w:p>
    <w:p>
      <w:r>
        <w:rPr>
          <w:color w:val="5A7D3A"/>
          <w:sz w:val="18"/>
        </w:rPr>
        <w:t>https://pubmed.ncbi.nlm.nih.gov/42757935/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