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23.10.2026  |  254 Studien  |  kardio.m-vf.de</w:t>
      </w:r>
    </w:p>
    <w:p>
      <w:pPr>
        <w:pStyle w:val="Heading1"/>
      </w:pPr>
      <w:r>
        <w:t>Aufgenommen am 23.10.2026</w:t>
      </w:r>
    </w:p>
    <w:p>
      <w:pPr>
        <w:pStyle w:val="Heading2"/>
      </w:pPr>
      <w:r>
        <w:t>Akute Herzinsuffizienz in der Notaufnahme: Konsens zur Diagnostik und Management</w:t>
      </w:r>
    </w:p>
    <w:p>
      <w:r>
        <w:rPr>
          <w:i/>
          <w:color w:val="666666"/>
          <w:sz w:val="18"/>
        </w:rPr>
        <w:t>Miró Ò et al.  ·  Eur Heart J  ·  22.10.2026  ·  PMID 42906949</w:t>
      </w:r>
    </w:p>
    <w:p>
      <w:r>
        <w:t>Europäische Konsensusempfehlungen zur Diagnostik, Triage und Behandlung akuter Herzinsuffizienz in Notaufnahmen und Rettungsdiensten, mit Fokus auf phenotypische Klassifikation, Biomarker, Bildgebung, Ventilation, Diuretika und frühe Therapieinitiierung.</w:t>
      </w:r>
    </w:p>
    <w:p>
      <w:r>
        <w:rPr>
          <w:b/>
        </w:rPr>
        <w:t xml:space="preserve">Ergebnis: </w:t>
      </w:r>
      <w:r>
        <w:t>Das Dokument betont die kritische Bedeutung einer schnellen phenotypischen Klassifikation in akute dekompensierte Herzinsuffizienz, akutes Lungenödem, isoliertes Rechtsherzversagen oder kardiogener Schock zur Steuerung der Frühbehandlung und Triage. Es identifiziert Wissenslücken und Forschungsprioritäten, einschließlich pragmatischer Studien zu Rettungsdienst-Interventionen und Biomarker-gestützter Therapie zur Verbesserung der Outcomes bei akuter Herzinsuffizienz.</w:t>
      </w:r>
    </w:p>
    <w:p>
      <w:r>
        <w:rPr>
          <w:b/>
          <w:sz w:val="19"/>
        </w:rPr>
        <w:t xml:space="preserve">Übertragbarkeit: </w:t>
      </w:r>
      <w:r>
        <w:rPr>
          <w:sz w:val="19"/>
        </w:rPr>
        <w:t>Europäische Konsensusarbeit, mehrere deutsche und österreichische Zentren, direkt auf europäische Notfall-Strukturen übertragbar.</w:t>
      </w:r>
    </w:p>
    <w:p>
      <w:r>
        <w:rPr>
          <w:color w:val="5A7D3A"/>
          <w:sz w:val="18"/>
        </w:rPr>
        <w:t>https://pubmed.ncbi.nlm.nih.gov/42906949/</w:t>
      </w:r>
    </w:p>
    <w:p>
      <w:pPr>
        <w:pStyle w:val="Heading2"/>
      </w:pPr>
      <w:r>
        <w:t>Digitale Gesundheitsinterventionen bei KHK: Weniger kardiovaskuläre Ereignisse</w:t>
      </w:r>
    </w:p>
    <w:p>
      <w:r>
        <w:rPr>
          <w:i/>
          <w:color w:val="666666"/>
          <w:sz w:val="18"/>
        </w:rPr>
        <w:t>Chan A et al.  ·  Eur J Prev Cardiol  ·  22.10.2026  ·  PMID 42906925</w:t>
      </w:r>
    </w:p>
    <w:p>
      <w:r>
        <w:t>Systematischer Review und Metaanalyse von 72 Studien (45 in Meta-Analyse, 23.111 Patienten) zur Wirksamkeit digitaler Gesundheitsinterventionen zur Versorgungsintegration bei Koronarer Herzkrankheit im Vergleich zu üblicher Behandlung.</w:t>
      </w:r>
    </w:p>
    <w:p>
      <w:r>
        <w:rPr>
          <w:b/>
        </w:rPr>
        <w:t xml:space="preserve">Ergebnis: </w:t>
      </w:r>
      <w:r>
        <w:t>Digitale Interventionen mit Versorgungsintegration reduzieren kardiovaskuläre Ereignisse (OR 0,74 [0,59–0,92], p=0,02), zeigen aber keinen signifikanten Effekt auf Gesamtsterblichkeit oder Readmissionen. Aktuelle Evidenz konzentriert sich auf patientenzentrierte Integration; systemic-level Integration bleibt untersucht.</w:t>
      </w:r>
    </w:p>
    <w:p>
      <w:r>
        <w:rPr>
          <w:b/>
          <w:sz w:val="19"/>
        </w:rPr>
        <w:t xml:space="preserve">Übertragbarkeit: </w:t>
      </w:r>
      <w:r>
        <w:rPr>
          <w:sz w:val="19"/>
        </w:rPr>
        <w:t>Internationale Evidenz, Übertragung auf deutsches ambulantes Versorgungssystem mit strukturierten Herzprogrammen möglich.</w:t>
      </w:r>
    </w:p>
    <w:p>
      <w:r>
        <w:rPr>
          <w:color w:val="5A7D3A"/>
          <w:sz w:val="18"/>
        </w:rPr>
        <w:t>https://pubmed.ncbi.nlm.nih.gov/42906925/</w:t>
      </w:r>
    </w:p>
    <w:p>
      <w:pPr>
        <w:pStyle w:val="Heading2"/>
      </w:pPr>
      <w:r>
        <w:t>Schrittmacher-induzierte Kardiomyopathie: RVOT-Position reduziert Risiko</w:t>
      </w:r>
    </w:p>
    <w:p>
      <w:r>
        <w:rPr>
          <w:i/>
          <w:color w:val="666666"/>
          <w:sz w:val="18"/>
        </w:rPr>
        <w:t>Van Weyenbergh T et al.  ·  Heart Rhythm  ·  21.10.2026  ·  PMID 42906715</w:t>
      </w:r>
    </w:p>
    <w:p>
      <w:r>
        <w:t>Retrospektive Single-Center-Studie an 401 Patienten mit leadless-Ventrikelschrittmachern (Micra AV n=145) zur Erfassung der Häufigkeit therapie-induzierter Kardiomyopathie und Assoziation von Implantationsort und AV-synchroner Stimulation mit Outcome.</w:t>
      </w:r>
    </w:p>
    <w:p>
      <w:r>
        <w:rPr>
          <w:b/>
        </w:rPr>
        <w:t xml:space="preserve">Ergebnis: </w:t>
      </w:r>
      <w:r>
        <w:t>Über 33,0 Monate median: Kardiomyopathie in 13,6% (4,8%/Jahr), therapie-induzierte Kardiomyopathie in 5,5% (1,9%/Jahr). RVOT-Implantation assoziiert mit niedrigerer Kardiomyopathie-Inzidenz (HR 0,48, p=0,019) und langsamerem Auswurffrraktions-Rückgang (−0,56%/Jahr vs. −1,43%/Jahr, p=0,013). Micra-AV-Geräte zeigten keinen Vorteil gegenüber VR-Geräten.</w:t>
      </w:r>
    </w:p>
    <w:p>
      <w:r>
        <w:rPr>
          <w:b/>
          <w:sz w:val="19"/>
        </w:rPr>
        <w:t xml:space="preserve">Übertragbarkeit: </w:t>
      </w:r>
      <w:r>
        <w:rPr>
          <w:sz w:val="19"/>
        </w:rPr>
        <w:t>Belgische Universitätsklinik, europäische Implantationspraxis und Langzeit-Überwachung.</w:t>
      </w:r>
    </w:p>
    <w:p>
      <w:r>
        <w:rPr>
          <w:color w:val="5A7D3A"/>
          <w:sz w:val="18"/>
        </w:rPr>
        <w:t>https://pubmed.ncbi.nlm.nih.gov/42906715/</w:t>
      </w:r>
    </w:p>
    <w:p>
      <w:pPr>
        <w:pStyle w:val="Heading2"/>
      </w:pPr>
      <w:r>
        <w:t>Pulsfeldablation bei Vorhofflimmern: 75–85 % Arrhythmiefreiheit paroxysmal</w:t>
      </w:r>
    </w:p>
    <w:p>
      <w:r>
        <w:rPr>
          <w:i/>
          <w:color w:val="666666"/>
          <w:sz w:val="18"/>
        </w:rPr>
        <w:t>Boveda S et al.  ·  Europace  ·  21.10.2026  ·  PMID 42905913</w:t>
      </w:r>
    </w:p>
    <w:p>
      <w:r>
        <w:t>Europäische Übersichtsarbeit zur Pulsfeldablation (PFA) bei paroxysmalem und persistierendem Vorhofflimmern, basierend auf aktuellen klinischen Studien, mit Angaben zu Effektivität, Komplikationen und Patientenberichteten Ergebnissen.</w:t>
      </w:r>
    </w:p>
    <w:p>
      <w:r>
        <w:rPr>
          <w:b/>
        </w:rPr>
        <w:t xml:space="preserve">Ergebnis: </w:t>
      </w:r>
      <w:r>
        <w:t>Paroxysmal Vorhofflimmern: 12-Monats-Arrhythmiefreiheit 75–85 %, Komplikationsrate 1–3 %. Persistierendes Vorhofflimmern: 60–75 % Arrhythmiefreiheit, &lt;3 % schwere Komplikationen. PFA zeigt verbesserte prozedurale Verträglichkeit, reduzierten Analgetika-Bedarf und mögliche Same-Day-Entlassung gegenüber thermalen Methoden.</w:t>
      </w:r>
    </w:p>
    <w:p>
      <w:r>
        <w:rPr>
          <w:b/>
          <w:sz w:val="19"/>
        </w:rPr>
        <w:t xml:space="preserve">Übertragbarkeit: </w:t>
      </w:r>
      <w:r>
        <w:rPr>
          <w:sz w:val="19"/>
        </w:rPr>
        <w:t>Europäische Konsensusarbeit mehrerer Länder (Frankreich, Deutschland, Belgien, UK), direkt auf deutsche EP-Labore übertragbar.</w:t>
      </w:r>
    </w:p>
    <w:p>
      <w:r>
        <w:rPr>
          <w:color w:val="5A7D3A"/>
          <w:sz w:val="18"/>
        </w:rPr>
        <w:t>https://pubmed.ncbi.nlm.nih.gov/42905913/</w:t>
      </w:r>
    </w:p>
    <w:p>
      <w:pPr>
        <w:pStyle w:val="Heading2"/>
      </w:pPr>
      <w:r>
        <w:t>Pulsfeldablation: Echtzeit-Kontrolle der Läsions-Qualität noch nicht standardisiert</w:t>
      </w:r>
    </w:p>
    <w:p>
      <w:r>
        <w:rPr>
          <w:i/>
          <w:color w:val="666666"/>
          <w:sz w:val="18"/>
        </w:rPr>
        <w:t>Cespón-Fernández M et al.  ·  Europace  ·  21.10.2026  ·  PMID 42905912</w:t>
      </w:r>
    </w:p>
    <w:p>
      <w:r>
        <w:t>Europäischer Übersichtsartikel zu Methoden der intraprozedualen Überwachung und Kontrolle der Läsions-Bildung und -Dauerhaftigkeit bei Pulsfeldablation für Vorhofflimmern.</w:t>
      </w:r>
    </w:p>
    <w:p>
      <w:r>
        <w:rPr>
          <w:b/>
        </w:rPr>
        <w:t xml:space="preserve">Ergebnis: </w:t>
      </w:r>
      <w:r>
        <w:t>Läsionsgröße und -geometrie hängen primär vom elektrischen Feld und kumulativer Elektroporation ab. Konventionelle thermale Marker (Elektrogramm-Abschwächung, Impedanzänderung, Stimulationsschwelle) korrelieren schlecht mit durablerender irreversibler Elektroporation. Multiparametrische Läsions-Schätzmodelle zeigen vielversprechende präklinische Ergebnisse, klinische Validierung bleibt begrenzt. Robuste intraprozedurale Marker fehlen noch; gegenwärtige Workflows stützen sich auf standardisierte Energieprotokolle und Läsions-Überlappung.</w:t>
      </w:r>
    </w:p>
    <w:p>
      <w:r>
        <w:rPr>
          <w:b/>
          <w:sz w:val="19"/>
        </w:rPr>
        <w:t xml:space="preserve">Übertragbarkeit: </w:t>
      </w:r>
      <w:r>
        <w:rPr>
          <w:sz w:val="19"/>
        </w:rPr>
        <w:t>Europäische Arbeitsgruppe (Spanien, Schweiz, Niederlande, Belgien, USA), auf deutsche Katheterlabore anwendbar.</w:t>
      </w:r>
    </w:p>
    <w:p>
      <w:r>
        <w:rPr>
          <w:color w:val="5A7D3A"/>
          <w:sz w:val="18"/>
        </w:rPr>
        <w:t>https://pubmed.ncbi.nlm.nih.gov/42905912/</w:t>
      </w:r>
    </w:p>
    <w:p>
      <w:pPr>
        <w:pStyle w:val="Heading2"/>
      </w:pPr>
      <w:r>
        <w:t>Antikoagulation nach VHF-Ablation: Absetzen bei niedrigem Schlaganfallrisiko sicher</w:t>
      </w:r>
    </w:p>
    <w:p>
      <w:r>
        <w:rPr>
          <w:i/>
          <w:color w:val="666666"/>
          <w:sz w:val="18"/>
        </w:rPr>
        <w:t>Lee YS et al.  ·  Heart Rhythm  ·  16.10.2026  ·  PMID 42887624</w:t>
      </w:r>
    </w:p>
    <w:p>
      <w:r>
        <w:t>Post-hoc-Analyse der ALONE-AF-Studie an 840 Patienten, stratifiziert nach CHA2DS2-VASc-Score ≤2 oder ≥3, zum Vergleich Antikoagulations-Absetzen versus Fortsetzung nach erfolgreicher VHF-Ablation.</w:t>
      </w:r>
    </w:p>
    <w:p>
      <w:r>
        <w:rPr>
          <w:b/>
        </w:rPr>
        <w:t xml:space="preserve">Ergebnis: </w:t>
      </w:r>
      <w:r>
        <w:t>CHA2DS2-VASc ≤2: Primärer Endpunkt (Schlaganfall, systemische Embolie, major bleeding) in 0,4 % (Absetzen) vs. 2,4 % (Fortsetzung), Differenz −1,9 Prozentpunkte (p=0,066). CHA2DS2-VASc ≥3: 1,8 % nur in Fortsetzungs-Gruppe. Alle major-bleeding-Ereignisse (n=5) traten in Fortsetzungs-Gruppen auf. Competing-risk-Analyse bestätigte Ergebnisse.</w:t>
      </w:r>
    </w:p>
    <w:p>
      <w:r>
        <w:rPr>
          <w:b/>
          <w:sz w:val="19"/>
        </w:rPr>
        <w:t xml:space="preserve">Übertragbarkeit: </w:t>
      </w:r>
      <w:r>
        <w:rPr>
          <w:sz w:val="19"/>
        </w:rPr>
        <w:t>Koreanische Multizenterstudie, stroke-risk-Stratifizierung international anerkannt und auf Deutschland übertragbar.</w:t>
      </w:r>
    </w:p>
    <w:p>
      <w:r>
        <w:rPr>
          <w:color w:val="5A7D3A"/>
          <w:sz w:val="18"/>
        </w:rPr>
        <w:t>https://pubmed.ncbi.nlm.nih.gov/42887624/</w:t>
      </w:r>
    </w:p>
    <w:p>
      <w:pPr>
        <w:pStyle w:val="Heading1"/>
      </w:pPr>
      <w:r>
        <w:t>Aufgenommen am 22.10.2026</w:t>
      </w:r>
    </w:p>
    <w:p>
      <w:pPr>
        <w:pStyle w:val="Heading2"/>
      </w:pPr>
      <w:r>
        <w:t>Finerenone senkt Sterblichkeit stärker als steroidale MRA bei Diabetes und Nierenerkrankung</w:t>
      </w:r>
    </w:p>
    <w:p>
      <w:r>
        <w:rPr>
          <w:i/>
          <w:color w:val="666666"/>
          <w:sz w:val="18"/>
        </w:rPr>
        <w:t>Kishimori T et al.  ·  ESC Heart Fail  ·  19.10.2026  ·  PMID 42902439</w:t>
      </w:r>
    </w:p>
    <w:p>
      <w:r>
        <w:t>Retrospektive Beobachtungsstudie an 1.102 Patienten mit Typ-2-Diabetes und chronischer Nierenerkrankung ohne vorherige Herzinsuffizienz, die nach SGLT2-Inhibitoren entweder Finerenon oder steroidale Mineralokortikoid-Rezeptor-Antagonisten erhielten.</w:t>
      </w:r>
    </w:p>
    <w:p>
      <w:r>
        <w:rPr>
          <w:b/>
        </w:rPr>
        <w:t xml:space="preserve">Ergebnis: </w:t>
      </w:r>
      <w:r>
        <w:t>Finerenon war mit niedrigerer 18-Monats-Sterblichkeit (2,1 vs. 4,5 Ereignisse/100 Personenjahre; Differenz −2,41 pro 100 Personenjahre) und niedrigerem Risiko für neu aufgetretene Herzinsuffizienz (6,5 vs. 12,9; Differenz −6,38) assoziiert. Kein signifikanter Unterschied bei Nierenergebnissen. Die Autoren weisen auf residuelles Confounding hin.</w:t>
      </w:r>
    </w:p>
    <w:p>
      <w:r>
        <w:rPr>
          <w:b/>
          <w:sz w:val="19"/>
        </w:rPr>
        <w:t xml:space="preserve">Übertragbarkeit: </w:t>
      </w:r>
      <w:r>
        <w:rPr>
          <w:sz w:val="19"/>
        </w:rPr>
        <w:t>Japan, real-world-Daten aus strukturiertem Register; SGLT2-Hemmer sind in Deutschland DMP-Standard.</w:t>
      </w:r>
    </w:p>
    <w:p>
      <w:r>
        <w:rPr>
          <w:color w:val="5A7D3A"/>
          <w:sz w:val="18"/>
        </w:rPr>
        <w:t>https://pubmed.ncbi.nlm.nih.gov/42902439/</w:t>
      </w:r>
    </w:p>
    <w:p>
      <w:pPr>
        <w:pStyle w:val="Heading2"/>
      </w:pPr>
      <w:r>
        <w:t>Bewegungstraining bei älteren Herzinsuffizienz-Patienten mit Gebrechlichkeit: Machbar und wirksam</w:t>
      </w:r>
    </w:p>
    <w:p>
      <w:r>
        <w:rPr>
          <w:i/>
          <w:color w:val="666666"/>
          <w:sz w:val="18"/>
        </w:rPr>
        <w:t>Krishnan S et al.  ·  ESC Heart Fail  ·  21.10.2026  ·  PMID 42902357</w:t>
      </w:r>
    </w:p>
    <w:p>
      <w:r>
        <w:t>Narratives Review zu Belastungstraining bei älteren Patienten mit Herzinsuffizienz und Gebrechlichkeit, mit Fokus auf Pathophysiologie, Sicherheit, optimale Programmgestaltung und Adherence-Strategien.</w:t>
      </w:r>
    </w:p>
    <w:p>
      <w:r>
        <w:rPr>
          <w:b/>
        </w:rPr>
        <w:t xml:space="preserve">Ergebnis: </w:t>
      </w:r>
      <w:r>
        <w:t>Bewegungstraining verbessert sowohl die kardiopulmonale Kapazität als auch den Gebrechlichkeitsstatus und reduziert herzinsuffizienzbedingte Komplikationen. Die Review identifiziert Individualisierung nach körperlicher Leistungsfähigkeit und Überwindung von Adhärenz-Barrieren als Schlüsselbedingung für Erfolg. Detaillierte Empfehlungen zur Programmgestaltung werden gegeben.</w:t>
      </w:r>
    </w:p>
    <w:p>
      <w:r>
        <w:rPr>
          <w:b/>
          <w:sz w:val="19"/>
        </w:rPr>
        <w:t xml:space="preserve">Übertragbarkeit: </w:t>
      </w:r>
      <w:r>
        <w:rPr>
          <w:sz w:val="19"/>
        </w:rPr>
        <w:t>UK (NIHR Leicester); Rehabilitations-Standards sind europäisch etabliert, übertragbar auf deutsche Cardiac-Rehabilitation-Programme.</w:t>
      </w:r>
    </w:p>
    <w:p>
      <w:r>
        <w:rPr>
          <w:color w:val="5A7D3A"/>
          <w:sz w:val="18"/>
        </w:rPr>
        <w:t>https://pubmed.ncbi.nlm.nih.gov/42902357/</w:t>
      </w:r>
    </w:p>
    <w:p>
      <w:pPr>
        <w:pStyle w:val="Heading2"/>
      </w:pPr>
      <w:r>
        <w:t>Drug-Coated Balloons senken Restenose an Seitenasten von Bifurkationsläsionen</w:t>
      </w:r>
    </w:p>
    <w:p>
      <w:r>
        <w:rPr>
          <w:i/>
          <w:color w:val="666666"/>
          <w:sz w:val="18"/>
        </w:rPr>
        <w:t>Ishihara T et al.  ·  Circ Cardiovasc Interv  ·  29.05.2026  ·  PMID 42900708</w:t>
      </w:r>
    </w:p>
    <w:p>
      <w:r>
        <w:t>Multizentrische randomisierte offene Studie mit 299 Patienten mit Bifurkationsläsionen, die Drug-Eluting-Stent (DES) in Hauptstamm erhielten und randomisiert zu zusätzlicher Dilatation der Seitenast mit Drug-Coated Balloon (DCB) oder konventionellem Ballon zugeteilt wurden.</w:t>
      </w:r>
    </w:p>
    <w:p>
      <w:r>
        <w:rPr>
          <w:b/>
        </w:rPr>
        <w:t xml:space="preserve">Ergebnis: </w:t>
      </w:r>
      <w:r>
        <w:t>Restenose der Seitenast nach 9 Monaten/1 Jahr war in der DCB-Gruppe niedriger als in der Non-DCB-Gruppe (8,1 % vs. 18,3 %, p=0,012). Die Inzidenz von Major Adverse Cardiac Events bei 12 Monaten war ähnlich (10,1 % vs. 12,4 %, p=0,58).</w:t>
      </w:r>
    </w:p>
    <w:p>
      <w:r>
        <w:rPr>
          <w:b/>
          <w:sz w:val="19"/>
        </w:rPr>
        <w:t xml:space="preserve">Übertragbarkeit: </w:t>
      </w:r>
      <w:r>
        <w:rPr>
          <w:sz w:val="19"/>
        </w:rPr>
        <w:t>Japan, kathetergestützte Intervention; Methodologie vergleichbar mit europäischen Standards, Ergebnis relevant für interventionelle Kardiologie.</w:t>
      </w:r>
    </w:p>
    <w:p>
      <w:r>
        <w:rPr>
          <w:color w:val="5A7D3A"/>
          <w:sz w:val="18"/>
        </w:rPr>
        <w:t>https://pubmed.ncbi.nlm.nih.gov/42900708/</w:t>
      </w:r>
    </w:p>
    <w:p>
      <w:pPr>
        <w:pStyle w:val="Heading2"/>
      </w:pPr>
      <w:r>
        <w:t>IL-30 von Herzmuskelzellen reduziert Entzündung und Umbau nach Herzinfarkt</w:t>
      </w:r>
    </w:p>
    <w:p>
      <w:r>
        <w:rPr>
          <w:i/>
          <w:color w:val="666666"/>
          <w:sz w:val="18"/>
        </w:rPr>
        <w:t>Chen S et al.  ·  Basic Res Cardiol  ·  20.10.2026  ·  PMID 42900195</w:t>
      </w:r>
    </w:p>
    <w:p>
      <w:r>
        <w:t>Experimentelle Studie in transgenen Mäusen und Humanmaterial (n=75 STEMI-Patienten, longitudinale Kohorte n=247): IL-30-Mangel in Kardiomyozyten verstärkt Immunantwort der Milz und verschlechtert Herzfunktion; Effekt über B-Zell-Signaling via Glycoprotein 130.</w:t>
      </w:r>
    </w:p>
    <w:p>
      <w:r>
        <w:rPr>
          <w:b/>
        </w:rPr>
        <w:t xml:space="preserve">Ergebnis: </w:t>
      </w:r>
      <w:r>
        <w:t>Bei IL-30-defizienten Mäusen stieg Myokard-IgG-Ablagerung und Kardiomyozyten-Apoptose, Herzfunktion verschlechterte sich. Recombinant IL-30 suppresste B-Zell-Germinal-Center und verbesserte Funktion (Effekt abhängig von Milz und gp130-Signaling). Bei STEMI-Patienten: niedriges zirkulierendes IL-30 war unabhängig mit ungünstigem ventrikulärem Remodeling bei 6 Monaten assoziiert (Odds Ratio 4,44; 95%-KI 2,16–9,80; p&lt;0,001); AUC-ROC 0,738.</w:t>
      </w:r>
    </w:p>
    <w:p>
      <w:r>
        <w:rPr>
          <w:b/>
          <w:sz w:val="19"/>
        </w:rPr>
        <w:t xml:space="preserve">Übertragbarkeit: </w:t>
      </w:r>
      <w:r>
        <w:rPr>
          <w:sz w:val="19"/>
        </w:rPr>
        <w:t>China (Humankohorte Fudan University Shanghai); Mechanismus mit klinischem Biomarker-Befund, Grundlage für zukünftige therapeutische Ansätze.</w:t>
      </w:r>
    </w:p>
    <w:p>
      <w:r>
        <w:rPr>
          <w:color w:val="5A7D3A"/>
          <w:sz w:val="18"/>
        </w:rPr>
        <w:t>https://pubmed.ncbi.nlm.nih.gov/42900195/</w:t>
      </w:r>
    </w:p>
    <w:p>
      <w:pPr>
        <w:pStyle w:val="Heading2"/>
      </w:pPr>
      <w:r>
        <w:t>Stickoxid-Exposition erhöht Vorhofflimmer-Risiko um 29 %</w:t>
      </w:r>
    </w:p>
    <w:p>
      <w:r>
        <w:rPr>
          <w:i/>
          <w:color w:val="666666"/>
          <w:sz w:val="18"/>
        </w:rPr>
        <w:t>Cannon EJ et al.  ·  Heart Rhythm  ·  16.10.2026  ·  PMID 42887622</w:t>
      </w:r>
    </w:p>
    <w:p>
      <w:r>
        <w:t>Prospektive Kohortenstudie an 6.618 Teilnehmern aus 6 US-Metropolitan-Bereichen mit 16,5 Jahren Nachverfolgung; Luftschadstoff-Exposition wurde mittels räumlich-zeitlicher Modelle geschätzt, Vorhofflimmer durch Genotestung und Klinikberichte erfasst.</w:t>
      </w:r>
    </w:p>
    <w:p>
      <w:r>
        <w:rPr>
          <w:b/>
        </w:rPr>
        <w:t xml:space="preserve">Ergebnis: </w:t>
      </w:r>
      <w:r>
        <w:t>Eine Interquartil-Erhöhung von Stickstoffdioxid (NO2; 13,5 ppb) war mit 29 % höherem Vorhofflimmer-Risiko verbunden (Hazard Ratio 1,00–1,67). Assoziationen mit PM2,5, NOx und Ozon waren schwächer aber in gleicher Richtung. Mediane NO2-Exposition lag unter der EPA-Grenze von 53 ppb.</w:t>
      </w:r>
    </w:p>
    <w:p>
      <w:r>
        <w:rPr>
          <w:b/>
          <w:sz w:val="19"/>
        </w:rPr>
        <w:t xml:space="preserve">Übertragbarkeit: </w:t>
      </w:r>
      <w:r>
        <w:rPr>
          <w:sz w:val="19"/>
        </w:rPr>
        <w:t>USA; Luftqualitätsbelastung und Schwellwerte unterscheiden sich; Mechanismus-Befund (Umweltbelastung) aber generalisierbar für Prävention.</w:t>
      </w:r>
    </w:p>
    <w:p>
      <w:r>
        <w:rPr>
          <w:color w:val="5A7D3A"/>
          <w:sz w:val="18"/>
        </w:rPr>
        <w:t>https://pubmed.ncbi.nlm.nih.gov/42887622/</w:t>
      </w:r>
    </w:p>
    <w:p>
      <w:pPr>
        <w:pStyle w:val="Heading2"/>
      </w:pPr>
      <w:r>
        <w:t>Machine Learning verbessert Vorhofflimmer-Rezidiv-Vorhersage durch Ablationsqualität</w:t>
      </w:r>
    </w:p>
    <w:p>
      <w:r>
        <w:rPr>
          <w:i/>
          <w:color w:val="666666"/>
          <w:sz w:val="18"/>
        </w:rPr>
        <w:t>Wang K et al.  ·  JACC Clin Electrophysiol  ·  03.10.2026  ·  PMID 42886095</w:t>
      </w:r>
    </w:p>
    <w:p>
      <w:r>
        <w:t>Multizentrische retrospektive Kohortenstudie an 1.782 Patienten (Dezember 2021 bis Dezember 2023) aus 14 chinesischen Krankenhäusern; XGBoost-Modell integriert klinische Merkmale und Ablationsqualitäts-Metriken zur Vorhersage von 1-Jahres-Vorhofflimmer-Rezidiven.</w:t>
      </w:r>
    </w:p>
    <w:p>
      <w:r>
        <w:rPr>
          <w:b/>
        </w:rPr>
        <w:t xml:space="preserve">Ergebnis: </w:t>
      </w:r>
      <w:r>
        <w:t>16,5 % der Patienten (294/1.782) entwickelten Vorhofflimmer-Rezidive innerhalb 1 Jahr. Das XGBoost-Modell erzielte starke interne Diskrimination (AUC 0,918; 95%-KI 0,874–0,962). Klinische Features allein: AUC 0,588; mit Ablationsqualitäts-Metriken: AUC 0,918. Externe Validierung an 2 unabhängigen Zentren (n=239): AUCs 0,992 und 0,951.</w:t>
      </w:r>
    </w:p>
    <w:p>
      <w:r>
        <w:rPr>
          <w:b/>
          <w:sz w:val="19"/>
        </w:rPr>
        <w:t xml:space="preserve">Übertragbarkeit: </w:t>
      </w:r>
      <w:r>
        <w:rPr>
          <w:sz w:val="19"/>
        </w:rPr>
        <w:t>China, multizentrisch; Ablationsqualität ist ein modifizierbarer intraprozedurale Faktor, relevant für europäische Elektro-Physiologen-Standards.</w:t>
      </w:r>
    </w:p>
    <w:p>
      <w:r>
        <w:rPr>
          <w:color w:val="5A7D3A"/>
          <w:sz w:val="18"/>
        </w:rPr>
        <w:t>https://pubmed.ncbi.nlm.nih.gov/42886095/</w:t>
      </w:r>
    </w:p>
    <w:p>
      <w:pPr>
        <w:pStyle w:val="Heading1"/>
      </w:pPr>
      <w:r>
        <w:t>Aufgenommen am 21.10.2026</w:t>
      </w:r>
    </w:p>
    <w:p>
      <w:pPr>
        <w:pStyle w:val="Heading2"/>
      </w:pPr>
      <w:r>
        <w:t>Schwere Trikuspidalinsuffizienz wird meist bei fortgeschrittener Rechtsherzinsuffizienz erkannt</w:t>
      </w:r>
    </w:p>
    <w:p>
      <w:r>
        <w:rPr>
          <w:i/>
          <w:color w:val="666666"/>
          <w:sz w:val="18"/>
        </w:rPr>
        <w:t>Fiore G et al.  ·  Int J Cardiol  ·  20.10.2026  ·  PMID 42901428</w:t>
      </w:r>
    </w:p>
    <w:p>
      <w:r>
        <w:t>Retrospektive Analyse von 625 Patienten mit erstmals diagnostizierter schwerer Trikuspidalinsuffizienz und Subgruppenanalyse von 310 mit vorherigem Echokardiogramm, um zu untersuchen, ob späte Erkennung oder frühe Krankheitsprogression den schlechten Phänotyp erklärt.</w:t>
      </w:r>
    </w:p>
    <w:p>
      <w:r>
        <w:rPr>
          <w:b/>
        </w:rPr>
        <w:t xml:space="preserve">Ergebnis: </w:t>
      </w:r>
      <w:r>
        <w:t>Bei Erstdiagnose schwerer TR zeigten 66,4% Rechtsherzinsuffizienz-Stadium 3 und 17,3% Stadium 4, nur 16,3% Stadium 1–2. Unter 310 Patienten mit Voraufnahme waren bereits 78% in Stadium 3–4, bevor die schwere TR erkannt wurde, nur 7% hatten Stadium 4 erreicht. Höhere RHF-Stadien korrelierten mit 2-Jahres-Mortalität.</w:t>
      </w:r>
    </w:p>
    <w:p>
      <w:r>
        <w:rPr>
          <w:b/>
          <w:sz w:val="19"/>
        </w:rPr>
        <w:t xml:space="preserve">Übertragbarkeit: </w:t>
      </w:r>
      <w:r>
        <w:rPr>
          <w:sz w:val="19"/>
        </w:rPr>
        <w:t>Italien, Universitätsklinik, funktionelle TR überwiegt mit 85% der Fälle</w:t>
      </w:r>
    </w:p>
    <w:p>
      <w:r>
        <w:rPr>
          <w:color w:val="5A7D3A"/>
          <w:sz w:val="18"/>
        </w:rPr>
        <w:t>https://pubmed.ncbi.nlm.nih.gov/42901428/</w:t>
      </w:r>
    </w:p>
    <w:p>
      <w:pPr>
        <w:pStyle w:val="Heading2"/>
      </w:pPr>
      <w:r>
        <w:t>LGE-Dispersions-Mapping sagt Herzrhythmusstörungen nach Herzinfarkt voraus</w:t>
      </w:r>
    </w:p>
    <w:p>
      <w:r>
        <w:rPr>
          <w:i/>
          <w:color w:val="666666"/>
          <w:sz w:val="18"/>
        </w:rPr>
        <w:t>Licordari R et al.  ·  Int J Cardiol  ·  20.10.2026  ·  PMID 42901427</w:t>
      </w:r>
    </w:p>
    <w:p>
      <w:r>
        <w:t>Retrospektive Analyse von 364 Patienten mit Herzinfarkt in der Vorgeschichte, um zu prüfen, ob eine neue MRT-Messung (LGE-Dispersions-Score) das Risiko für plötzlichen Herztod, Kammerflimmern und ICD-Schocks vorhersagt.</w:t>
      </w:r>
    </w:p>
    <w:p>
      <w:r>
        <w:rPr>
          <w:b/>
        </w:rPr>
        <w:t xml:space="preserve">Ergebnis: </w:t>
      </w:r>
      <w:r>
        <w:t>Bei 42 arrhythmischen Ereignissen während 4 Jahren zeigte sich ein LGE-Dispersions-Score &gt;0,5 als unabhängiger Prädiktor (Hazard Ratio 1,16 pro 0,1-Punkte-Anstieg, 95%-KI 1,03–1,29; p=0,005). Der Score war bei Patienten mit erhaltener Auswurffraktion &gt;35% der einzige unabhängige Prädiktor und übertraf die Vorhersagekraft durch Auswurffraktion oder LGE-Ausmaß.</w:t>
      </w:r>
    </w:p>
    <w:p>
      <w:r>
        <w:rPr>
          <w:b/>
          <w:sz w:val="19"/>
        </w:rPr>
        <w:t xml:space="preserve">Übertragbarkeit: </w:t>
      </w:r>
      <w:r>
        <w:rPr>
          <w:sz w:val="19"/>
        </w:rPr>
        <w:t>Italien, Universitätszentren, externe Validierung erforderlich vor klinischer Anwendung</w:t>
      </w:r>
    </w:p>
    <w:p>
      <w:r>
        <w:rPr>
          <w:color w:val="5A7D3A"/>
          <w:sz w:val="18"/>
        </w:rPr>
        <w:t>https://pubmed.ncbi.nlm.nih.gov/42901427/</w:t>
      </w:r>
    </w:p>
    <w:p>
      <w:pPr>
        <w:pStyle w:val="Heading2"/>
      </w:pPr>
      <w:r>
        <w:t>CD36-Genvariante trägt mehr zur dilatativen Kardiomyopathie bei Afrikanern bei als TTN-Mutationen</w:t>
      </w:r>
    </w:p>
    <w:p>
      <w:r>
        <w:rPr>
          <w:i/>
          <w:color w:val="666666"/>
          <w:sz w:val="18"/>
        </w:rPr>
        <w:t>Challa SP et al.  ·  JAMA  ·  19.10.2026  ·  PMID 42895716</w:t>
      </w:r>
    </w:p>
    <w:p>
      <w:r>
        <w:t>Genetische Assoziationsstudie in 4 US-Kohorten (n=82.623 afrikanische Abstammung, 1.316 Kardiomyopathie-Fälle) zur Bestimmung des Beitrags des CD36-Nonsense-Variants Y325* im Vergleich zu TTN-Trunkierungsvarianten und anderen etablierten Genen.</w:t>
      </w:r>
    </w:p>
    <w:p>
      <w:r>
        <w:rPr>
          <w:b/>
        </w:rPr>
        <w:t xml:space="preserve">Ergebnis: </w:t>
      </w:r>
      <w:r>
        <w:t>Homozygote CD36-Y325*-Träger zeigten erhöhtes Kardiomyopathie-Risiko (OR 4,8; 95%-KI 3,1–7,3), Heterozygote (OR 1,4; 95%-KI 1,2–1,7). TTN-Trunkierungen: OR 8,5 (95%-KI 5,5–13,0). Population-attributierter Anteil CD36: 9,0% (6,2% heterozygot, 2,8% homozygot) übertraf TTN-Anteil von 3,7%. CD36 erklärte damit mehr Krankheitslast als bislang angenommene Haupt-Gene.</w:t>
      </w:r>
    </w:p>
    <w:p>
      <w:r>
        <w:rPr>
          <w:b/>
          <w:sz w:val="19"/>
        </w:rPr>
        <w:t xml:space="preserve">Übertragbarkeit: </w:t>
      </w:r>
      <w:r>
        <w:rPr>
          <w:sz w:val="19"/>
        </w:rPr>
        <w:t>USA, 4 große klinische Kohorten, Bedeutung ethnischer Repräsentation in Genomforschung</w:t>
      </w:r>
    </w:p>
    <w:p>
      <w:r>
        <w:rPr>
          <w:color w:val="5A7D3A"/>
          <w:sz w:val="18"/>
        </w:rPr>
        <w:t>https://pubmed.ncbi.nlm.nih.gov/42895716/</w:t>
      </w:r>
    </w:p>
    <w:p>
      <w:pPr>
        <w:pStyle w:val="Heading2"/>
      </w:pPr>
      <w:r>
        <w:t>Dyspnoe ist Haupttreiber sexueller Inaktivität bei Herzinsuffizienz – Ärzte sprechen es kaum an</w:t>
      </w:r>
    </w:p>
    <w:p>
      <w:r>
        <w:rPr>
          <w:i/>
          <w:color w:val="666666"/>
          <w:sz w:val="18"/>
        </w:rPr>
        <w:t>Damy T et al.  ·  ESC Heart Fail  ·  19.10.2026  ·  PMID 42895114</w:t>
      </w:r>
    </w:p>
    <w:p>
      <w:r>
        <w:t>Nationale deskriptive Fragebogenstudie (ROMANT'IC) mit 1.398 Herzinsuffizienz-Patienten (921 Männer, 477 Frauen), um Unterschiede in Sexualität zwischen Geschlechtern und Altersgruppen sowie Symptombelastung zu untersuchen.</w:t>
      </w:r>
    </w:p>
    <w:p>
      <w:r>
        <w:rPr>
          <w:b/>
        </w:rPr>
        <w:t xml:space="preserve">Ergebnis: </w:t>
      </w:r>
      <w:r>
        <w:t>Von 655 Respondenten berichteten 57,8% Männer und 53,7% Frauen keine sexuelle Aktivität in 3 Monaten. Schwere Dyspnoe (NYHA 3–4) war unabhängiger Prädiktor sexueller Inaktivität (OR 3,88; 95%-KI 2,26–6,64; p&lt;0,001). Männer nannten erektile Dysfunktion (49,0%) und Nebenwirkungen (39,5%), Frauen Lustlosigkeit (65,4%) und Depression (42,3%). 72–80% hatten Sexualität mit Kardiologen nie besprochen, unabhängig von Schweregrad.</w:t>
      </w:r>
    </w:p>
    <w:p>
      <w:r>
        <w:rPr>
          <w:b/>
          <w:sz w:val="19"/>
        </w:rPr>
        <w:t xml:space="preserve">Übertragbarkeit: </w:t>
      </w:r>
      <w:r>
        <w:rPr>
          <w:sz w:val="19"/>
        </w:rPr>
        <w:t>Frankreich, multizentrisches Netzwerk, geschlechts- und symptomgerechte Beratung in Routineversorgung nicht etabliert</w:t>
      </w:r>
    </w:p>
    <w:p>
      <w:r>
        <w:rPr>
          <w:color w:val="5A7D3A"/>
          <w:sz w:val="18"/>
        </w:rPr>
        <w:t>https://pubmed.ncbi.nlm.nih.gov/42895114/</w:t>
      </w:r>
    </w:p>
    <w:p>
      <w:pPr>
        <w:pStyle w:val="Heading2"/>
      </w:pPr>
      <w:r>
        <w:t>Frauen nach Herzinfarkt zeigen stärkeren parasympathischen Rückgang bei negativer Laune</w:t>
      </w:r>
    </w:p>
    <w:p>
      <w:r>
        <w:rPr>
          <w:i/>
          <w:color w:val="666666"/>
          <w:sz w:val="18"/>
        </w:rPr>
        <w:t>Vaccarino V et al.  ·  J Am Heart Assoc  ·  16.10.2026  ·  PMID 42885808</w:t>
      </w:r>
    </w:p>
    <w:p>
      <w:r>
        <w:t>Prospektive Kohortenstudie mit 302 Patienten ≤61 Jahren (43% Frauen, Durchschnittsalter 51) mit 7-Tage-Monitoring von Stimmung/Stress per Fragebogen und gleichzeitiger Holter-Überwachung für autonome Parameter.</w:t>
      </w:r>
    </w:p>
    <w:p>
      <w:r>
        <w:rPr>
          <w:b/>
        </w:rPr>
        <w:t xml:space="preserve">Ergebnis: </w:t>
      </w:r>
      <w:r>
        <w:t>Frauen berichteten höhere negative Stimmung und Stress als Männer. Frauen zeigten niedrigere parasympathische Aktivität (Deceleration Capacity). Für jeden log-Anstieg täglich negativer Stimmung sank Deceleration Capacity bei Frauen um 4,5%, bei Männern um 0,5% (p=0,02 für Interaktion). Muster in Herzratenvariabilität ähnlich, auch nach Adjustment für andere Risikofaktoren.</w:t>
      </w:r>
    </w:p>
    <w:p>
      <w:r>
        <w:rPr>
          <w:b/>
          <w:sz w:val="19"/>
        </w:rPr>
        <w:t xml:space="preserve">Übertragbarkeit: </w:t>
      </w:r>
      <w:r>
        <w:rPr>
          <w:sz w:val="19"/>
        </w:rPr>
        <w:t>USA, verschiedene Zentren, psychosoziale Faktoren bei Frauen nach MI unterbehandelt</w:t>
      </w:r>
    </w:p>
    <w:p>
      <w:r>
        <w:rPr>
          <w:color w:val="5A7D3A"/>
          <w:sz w:val="18"/>
        </w:rPr>
        <w:t>https://pubmed.ncbi.nlm.nih.gov/42885808/</w:t>
      </w:r>
    </w:p>
    <w:p>
      <w:pPr>
        <w:pStyle w:val="Heading2"/>
      </w:pPr>
      <w:r>
        <w:t>Lipoprotein(a) und vulnerables Plaque in CT treffen zukünftige Herzinfarkte</w:t>
      </w:r>
    </w:p>
    <w:p>
      <w:r>
        <w:rPr>
          <w:i/>
          <w:color w:val="666666"/>
          <w:sz w:val="18"/>
        </w:rPr>
        <w:t>Isenstein D et al.  ·  JACC Cardiovasc Imaging  ·  09.10.2026  ·  PMID 42867429</w:t>
      </w:r>
    </w:p>
    <w:p>
      <w:r>
        <w:t>Prospektive Kohorte mit Patienten, die eine CT-Koronarangiografie erhielten, zur Untersuchung, ob Lipoprotein(a)-Spiegel und CT-Zeichen vulnerabler Plaques (Low-Attenuation-Plaque) den Myokardinfarkt vorhersagen.</w:t>
      </w:r>
    </w:p>
    <w:p>
      <w:r>
        <w:rPr>
          <w:b/>
        </w:rPr>
        <w:t xml:space="preserve">Ergebnis: </w:t>
      </w:r>
      <w:r>
        <w:t>Studie zeigt Assoziation zwischen Lipoprotein(a), vulnerablem Plaque-Phänotyp in der CT-Bildgebung und zukünftigem Myokardinfarkt, kombiniert laborchemische und bildgebende Risikomarker.</w:t>
      </w:r>
    </w:p>
    <w:p>
      <w:r>
        <w:rPr>
          <w:b/>
          <w:sz w:val="19"/>
        </w:rPr>
        <w:t xml:space="preserve">Übertragbarkeit: </w:t>
      </w:r>
      <w:r>
        <w:rPr>
          <w:sz w:val="19"/>
        </w:rPr>
        <w:t>Multinationale akademische Zentren, nicht-invasive Risikostratifizierung vor Symptomen</w:t>
      </w:r>
    </w:p>
    <w:p>
      <w:r>
        <w:rPr>
          <w:color w:val="5A7D3A"/>
          <w:sz w:val="18"/>
        </w:rPr>
        <w:t>https://pubmed.ncbi.nlm.nih.gov/42867429/</w:t>
      </w:r>
    </w:p>
    <w:p>
      <w:pPr>
        <w:pStyle w:val="Heading1"/>
      </w:pPr>
      <w:r>
        <w:t>Aufgenommen am 20.10.2026</w:t>
      </w:r>
    </w:p>
    <w:p>
      <w:pPr>
        <w:pStyle w:val="Heading2"/>
      </w:pPr>
      <w:r>
        <w:t>Leberfunktionsmuster identifizieren Hochrisiko-Patienten bei akuter Herzinsuffizienz</w:t>
      </w:r>
    </w:p>
    <w:p>
      <w:r>
        <w:rPr>
          <w:i/>
          <w:color w:val="666666"/>
          <w:sz w:val="18"/>
        </w:rPr>
        <w:t>Marcus G et al.  ·  Clin Res Cardiol  ·  19.10.2026  ·  PMID 42895544</w:t>
      </w:r>
    </w:p>
    <w:p>
      <w:r>
        <w:t>Israelische Kohortenstudie an 8332 Hospitalisierungen mit akut dekompensierter Herzinsuffizienz untersuchte, ob Muster der Leberfunktionswerte (AST, ALT, alkalische Phosphatase, Bilirubin) Prognose vorhersagen.</w:t>
      </w:r>
    </w:p>
    <w:p>
      <w:r>
        <w:rPr>
          <w:b/>
        </w:rPr>
        <w:t xml:space="preserve">Ergebnis: </w:t>
      </w:r>
      <w:r>
        <w:t>Vier Phänotypen zeigten deutlich unterschiedliche Sterblichkeit: keine Leberverletzung 3,5 %, hepatozellulär 16,3 %, cholestasisch 9,0 %, kombiniert 24,3 % (p&lt;0,001). Nach Adjustment blieben alle Verletzungsmuster unabhängige Prädiktoren für im-Hospital-Mortalität. Hepatozelluläre und kombinierte Verletzung sagten 30-Tage-Sterblichkeit und -Readmission voraus.</w:t>
      </w:r>
    </w:p>
    <w:p>
      <w:r>
        <w:rPr>
          <w:b/>
          <w:sz w:val="19"/>
        </w:rPr>
        <w:t xml:space="preserve">Übertragbarkeit: </w:t>
      </w:r>
      <w:r>
        <w:rPr>
          <w:sz w:val="19"/>
        </w:rPr>
        <w:t>Israel, vergleichbare Dokumentationspraxis; Routineparameter für deutsche Kliniken verfügbar.</w:t>
      </w:r>
    </w:p>
    <w:p>
      <w:r>
        <w:rPr>
          <w:color w:val="5A7D3A"/>
          <w:sz w:val="18"/>
        </w:rPr>
        <w:t>https://pubmed.ncbi.nlm.nih.gov/42895544/</w:t>
      </w:r>
    </w:p>
    <w:p>
      <w:pPr>
        <w:pStyle w:val="Heading2"/>
      </w:pPr>
      <w:r>
        <w:t>Echokardiographischer Atrial-Coupling-Index prognostiziert Vorhofflimmern nach Schlaganfall</w:t>
      </w:r>
    </w:p>
    <w:p>
      <w:r>
        <w:rPr>
          <w:i/>
          <w:color w:val="666666"/>
          <w:sz w:val="18"/>
        </w:rPr>
        <w:t>Giordano C et al.  ·  Clin Res Cardiol  ·  19.10.2026  ·  PMID 42895543</w:t>
      </w:r>
    </w:p>
    <w:p>
      <w:r>
        <w:t>Italienische Kohortenstudie an 285 Patienten mit embolischem Schlaganfall oder TIA unbekannter Ursache untersuchte, ob der Left Atrial Volumetric-Mechanical Coupling Index (LACI-VM) das Auftreten von Vorhofflimmern vorhersagt.</w:t>
      </w:r>
    </w:p>
    <w:p>
      <w:r>
        <w:rPr>
          <w:b/>
        </w:rPr>
        <w:t xml:space="preserve">Ergebnis: </w:t>
      </w:r>
      <w:r>
        <w:t>Über 10,9 Monate Nachbeobachtung entwickelten 24 Patienten (8,4 %) Vorhofflimmern, 62 % innerhalb eines Jahres. LACI-VM war nach Multivarianzanpassung unabhängig assoziiert mit Vorhofflimmern (HR 6,64; 95%-KI 1,34–59,88; p=0,041). Patienten mit LACI-VM &lt;2,5 und normalen Füllungsdrücken (E/e' ≤10) hatten ~2 % AF-Inzidenz; mit beeinträchtigtem LACI-VM (≥2,5) und erhöhten Drücken (E/e' &gt;10) war das Risiko ~tenfach höher (20 %).</w:t>
      </w:r>
    </w:p>
    <w:p>
      <w:r>
        <w:rPr>
          <w:b/>
          <w:sz w:val="19"/>
        </w:rPr>
        <w:t xml:space="preserve">Übertragbarkeit: </w:t>
      </w:r>
      <w:r>
        <w:rPr>
          <w:sz w:val="19"/>
        </w:rPr>
        <w:t>Italien, kardiologische Echokardiographie; einfache Messung für deutsche Stroke Units anwendbar.</w:t>
      </w:r>
    </w:p>
    <w:p>
      <w:r>
        <w:rPr>
          <w:color w:val="5A7D3A"/>
          <w:sz w:val="18"/>
        </w:rPr>
        <w:t>https://pubmed.ncbi.nlm.nih.gov/42895543/</w:t>
      </w:r>
    </w:p>
    <w:p>
      <w:pPr>
        <w:pStyle w:val="Heading2"/>
      </w:pPr>
      <w:r>
        <w:t>Lipoprotein(a) nicht assoziiert mit Reperfusionsschaden bei STEMI</w:t>
      </w:r>
    </w:p>
    <w:p>
      <w:r>
        <w:rPr>
          <w:i/>
          <w:color w:val="666666"/>
          <w:sz w:val="18"/>
        </w:rPr>
        <w:t>Holzknecht M et al.  ·  Clin Res Cardiol  ·  19.10.2026  ·  PMID 42895541</w:t>
      </w:r>
    </w:p>
    <w:p>
      <w:r>
        <w:t>Österreichische prospektive Kohortenstudie (MARINA-STEMI) an 518 STEMI-Patienten mit primärer PCI untersuchte, ob Lipoprotein(a) mit Ischämie-Reperfusionsschaden (gemessen durch kardiale Magnetresonanztomographie) korreliert.</w:t>
      </w:r>
    </w:p>
    <w:p>
      <w:r>
        <w:rPr>
          <w:b/>
        </w:rPr>
        <w:t xml:space="preserve">Ergebnis: </w:t>
      </w:r>
      <w:r>
        <w:t>LDL-Cholesterin korrelierte mit Infarktgröße (ρ=0,114; p=0,010) und war höher bei Patienten mit intramyokardialer Hämorrhagie (145 vs. 140 mg/dl; p=0,031). Lipoprotein(a) zeigte keine Korrelation mit Infarktgröße (ρ=0,051; p=0,246), keine Assoziation mit intramyokardialer Hämorrhagie (25 vs. 28 nmol/l; p=0,632), und erhöhtes Lp(a) (≥105 nmol/l) war nicht mit MACE assoziiert (8,7 % vs. 8,8 %; p=0,966).</w:t>
      </w:r>
    </w:p>
    <w:p>
      <w:r>
        <w:rPr>
          <w:b/>
          <w:sz w:val="19"/>
        </w:rPr>
        <w:t xml:space="preserve">Übertragbarkeit: </w:t>
      </w:r>
      <w:r>
        <w:rPr>
          <w:sz w:val="19"/>
        </w:rPr>
        <w:t>Österreich, vergleichbares Gesundheitssystem; zeigt Grenzen eines Biomarkers auf, relevant für deutsche Patientenselektion.</w:t>
      </w:r>
    </w:p>
    <w:p>
      <w:r>
        <w:rPr>
          <w:color w:val="5A7D3A"/>
          <w:sz w:val="18"/>
        </w:rPr>
        <w:t>https://pubmed.ncbi.nlm.nih.gov/42895541/</w:t>
      </w:r>
    </w:p>
    <w:p>
      <w:pPr>
        <w:pStyle w:val="Heading2"/>
      </w:pPr>
      <w:r>
        <w:t>ESC-Konsensus zur Nachsorge von Herztransplantierten außerhalb von Zentren</w:t>
      </w:r>
    </w:p>
    <w:p>
      <w:r>
        <w:rPr>
          <w:i/>
          <w:color w:val="666666"/>
          <w:sz w:val="18"/>
        </w:rPr>
        <w:t>Baudry G et al.  ·  Eur J Heart Fail  ·  19.10.2026  ·  PMID 42895118</w:t>
      </w:r>
    </w:p>
    <w:p>
      <w:r>
        <w:t>Europäische Konsensusstellungnahme (HFA/ACNAP/ESC) mit Handlungsempfehlungen für Nicht-Transplantationszentren zur Betreuung von Langzeit-Herztransplantierten hinsichtlich Immunsuppression, Abstoßung, Infektion, kardiale Vaskulopathie, Malignität, Nierenerkrankung und metabolischen Störungen.</w:t>
      </w:r>
    </w:p>
    <w:p>
      <w:r>
        <w:rPr>
          <w:b/>
        </w:rPr>
        <w:t xml:space="preserve">Ergebnis: </w:t>
      </w:r>
      <w:r>
        <w:t>Konsensus empfiehlt strukturierte Nachsorgemodelle mit zeitabhängigen Behandlungsprinzipien, Shared-Care-Modelle zwischen Transplantationszentren und Hausversorgern, klare Kriterien für Überweisung bei komplexen Szenarien (Fertilität, Schwangerschaft, nicht-kardiale Chirurgie, Rehabilitation, palliative Care). Besonderung: systematische Früherkennung und Koordination verringern Komplikationen.</w:t>
      </w:r>
    </w:p>
    <w:p>
      <w:r>
        <w:rPr>
          <w:b/>
          <w:sz w:val="19"/>
        </w:rPr>
        <w:t xml:space="preserve">Übertragbarkeit: </w:t>
      </w:r>
      <w:r>
        <w:rPr>
          <w:sz w:val="19"/>
        </w:rPr>
        <w:t>Europa (Deutschland Mitautor), deutschsprachige Zentren; strukturelle Vorgaben direkt übertragbar.</w:t>
      </w:r>
    </w:p>
    <w:p>
      <w:r>
        <w:rPr>
          <w:color w:val="5A7D3A"/>
          <w:sz w:val="18"/>
        </w:rPr>
        <w:t>https://pubmed.ncbi.nlm.nih.gov/42895118/</w:t>
      </w:r>
    </w:p>
    <w:p>
      <w:pPr>
        <w:pStyle w:val="Heading2"/>
      </w:pPr>
      <w:r>
        <w:t>Herzinsuffizienz zerstört die normale Struktur der Herzmuskel-Tubuli</w:t>
      </w:r>
    </w:p>
    <w:p>
      <w:r>
        <w:rPr>
          <w:i/>
          <w:color w:val="666666"/>
          <w:sz w:val="18"/>
        </w:rPr>
        <w:t>Iqbal Z et al.  ·  J Mol Cell Cardiol  ·  09.10.2026  ·  PMID 42854828</w:t>
      </w:r>
    </w:p>
    <w:p>
      <w:r>
        <w:t>Deutsche Grundlagenstudie an Gewebeschnitten von 8 nicht-insuffizienten und 13 terminal insuffizienten Spenderherzen untersuchte, ob die transmuralen Gradienten der T-Tubuli (Ionenkanäle der Myozyten) bei Herzinsuffizienz erhalten bleiben und ob kleine Biopsien repräsentativ sind.</w:t>
      </w:r>
    </w:p>
    <w:p>
      <w:r>
        <w:rPr>
          <w:b/>
        </w:rPr>
        <w:t xml:space="preserve">Ergebnis: </w:t>
      </w:r>
      <w:r>
        <w:t>In nicht-insuffizienten Herzen war die T-Tubuli-Dichte im Subepikard 45 % höher als im Subendokard (0,16 ± 0,01 % vs. 0,11 ± 0,01 %; p&lt;0,001). Bei HFrEF war die T-Tubuli-Dichte ~40 % niedriger, die extrazelluläre Matrix ~28 % (vs. ~20 %), Myozyten ~50 % breiter, und der transmuraale Gradient war aufgehoben. Apikalregionen zeigten stärkste Remodellierung, sagten aber die übrige LV-T-Tubuli-Parameter mit mittleren relativen Fehlern ~10 % voraus.</w:t>
      </w:r>
    </w:p>
    <w:p>
      <w:r>
        <w:rPr>
          <w:b/>
          <w:sz w:val="19"/>
        </w:rPr>
        <w:t xml:space="preserve">Übertragbarkeit: </w:t>
      </w:r>
      <w:r>
        <w:rPr>
          <w:sz w:val="19"/>
        </w:rPr>
        <w:t>Deutschland (Erlangen, Leipzig, Bad Oeynhausen), humane Explantate; Biopsie-Strategie für klinische T-Tubuli-Diagnostik definiert.</w:t>
      </w:r>
    </w:p>
    <w:p>
      <w:r>
        <w:rPr>
          <w:color w:val="5A7D3A"/>
          <w:sz w:val="18"/>
        </w:rPr>
        <w:t>https://pubmed.ncbi.nlm.nih.gov/42854828/</w:t>
      </w:r>
    </w:p>
    <w:p>
      <w:pPr>
        <w:pStyle w:val="Heading2"/>
      </w:pPr>
      <w:r>
        <w:t>FFR-CT prognostiziert Herzinfarkt und kardiovaskulären Tod unabhängig von Stenosegrad</w:t>
      </w:r>
    </w:p>
    <w:p>
      <w:r>
        <w:rPr>
          <w:i/>
          <w:color w:val="666666"/>
          <w:sz w:val="18"/>
        </w:rPr>
        <w:t>Bell JS et al.  ·  Circulation  ·  20.10.2026  ·  PMID 42770221</w:t>
      </w:r>
    </w:p>
    <w:p>
      <w:r>
        <w:t>Britische Kohortenstudie an 7836 Patienten mit stabiler Koronarer Herzkrankheit untersuchte, ob die computertomographisch abgeleitete Fraktionale Flussreserve (FFR-CT) zukünftige kardiovaskuläre Ereignisse vorhersagt.</w:t>
      </w:r>
    </w:p>
    <w:p>
      <w:r>
        <w:rPr>
          <w:b/>
        </w:rPr>
        <w:t xml:space="preserve">Ergebnis: </w:t>
      </w:r>
      <w:r>
        <w:t>FFR-CT-Werte ≤0,7 waren unabhängig von Stenosegrad mit erhöhtem Myokardinfarktrisiko assoziiert (adjustierte HR 2,94–3,39; p&lt;0,001), FFR-CT ≤0,5 mit kardiovaskulärem Tod (adjustierte HR 2,92; p=0,02). Ein FFR-CT-Wert von 0,67 markierte den optimalen Risikoschwellenwert. Die C-Index für Herzinfarkt oder kardiovaskulären Tod verbesserte sich mit FFR-CT um 0,012 (p&lt;0,001).</w:t>
      </w:r>
    </w:p>
    <w:p>
      <w:r>
        <w:rPr>
          <w:b/>
          <w:sz w:val="19"/>
        </w:rPr>
        <w:t xml:space="preserve">Übertragbarkeit: </w:t>
      </w:r>
      <w:r>
        <w:rPr>
          <w:sz w:val="19"/>
        </w:rPr>
        <w:t>Großbritannien, nationale Datenbank; Methode klinisch etabliert, übertragbar auf deutsche Screening-Strukturen.</w:t>
      </w:r>
    </w:p>
    <w:p>
      <w:r>
        <w:rPr>
          <w:color w:val="5A7D3A"/>
          <w:sz w:val="18"/>
        </w:rPr>
        <w:t>https://pubmed.ncbi.nlm.nih.gov/42770221/</w:t>
      </w:r>
    </w:p>
    <w:p>
      <w:pPr>
        <w:pStyle w:val="Heading1"/>
      </w:pPr>
      <w:r>
        <w:t>Aufgenommen am 19.10.2026</w:t>
      </w:r>
    </w:p>
    <w:p>
      <w:pPr>
        <w:pStyle w:val="Heading2"/>
      </w:pPr>
      <w:r>
        <w:t>GLP-1-Agonisten senken Vorhofflimmernrisiko bei Adipositas und Nierenerkrankung</w:t>
      </w:r>
    </w:p>
    <w:p>
      <w:r>
        <w:rPr>
          <w:i/>
          <w:color w:val="666666"/>
          <w:sz w:val="18"/>
        </w:rPr>
        <w:t>Hassan A et al.  ·  Int J Cardiol  ·  17.10.2026  ·  PMID 42892471</w:t>
      </w:r>
    </w:p>
    <w:p>
      <w:r>
        <w:t>Retrospektive Kohortenstudie an 7.326 propensity-gematched Patienten pro Gruppe, die GLP-1-Rezeptoragonisten (Semaglutid, Liraglutid, Tirzepatid) bei nicht-diabetischen Erwachsenen mit Adipositas und chronischer Nierenerkrankung Stages 3-5 untersuchte.</w:t>
      </w:r>
    </w:p>
    <w:p>
      <w:r>
        <w:rPr>
          <w:b/>
        </w:rPr>
        <w:t xml:space="preserve">Ergebnis: </w:t>
      </w:r>
      <w:r>
        <w:t>Nach 1 Jahr Inzidenz-Vorhofflimmern 1,63% unter GLP-1-RA vs. 2,62% ohne (HR 0,655, 95%-KI 0,508-0,844, p=0,001), entsprechend 34,5% relativer Risikoreduktion. Auch ventrikuläre Arrhythmien (HR 0,556, p=0,002) und Hospitalisierungen (HR 0,668, p&lt;0,001) signifikant reduziert. Effekte persistent über 2–3 Jahre.</w:t>
      </w:r>
    </w:p>
    <w:p>
      <w:r>
        <w:rPr>
          <w:b/>
          <w:sz w:val="19"/>
        </w:rPr>
        <w:t xml:space="preserve">Übertragbarkeit: </w:t>
      </w:r>
      <w:r>
        <w:rPr>
          <w:sz w:val="19"/>
        </w:rPr>
        <w:t>USA-Daten (TriNetX), begrenzte Direktübertragung auf deutsches System</w:t>
      </w:r>
    </w:p>
    <w:p>
      <w:r>
        <w:rPr>
          <w:color w:val="5A7D3A"/>
          <w:sz w:val="18"/>
        </w:rPr>
        <w:t>https://pubmed.ncbi.nlm.nih.gov/42892471/</w:t>
      </w:r>
    </w:p>
    <w:p>
      <w:pPr>
        <w:pStyle w:val="Heading2"/>
      </w:pPr>
      <w:r>
        <w:t>Alkoholbedingte Leberfettsucht erhöht Schlaganfallrisiko bei Vorhofflimmern</w:t>
      </w:r>
    </w:p>
    <w:p>
      <w:r>
        <w:rPr>
          <w:i/>
          <w:color w:val="666666"/>
          <w:sz w:val="18"/>
        </w:rPr>
        <w:t>Go YH et al.  ·  Heart Rhythm  ·  16.10.2026  ·  PMID 42887623</w:t>
      </w:r>
    </w:p>
    <w:p>
      <w:r>
        <w:t>Nationale koreanische Kohorte von 196.242 AF-Patienten (2010–2018, Median-Follow-up 5,9 Jahre) stratifiziert nach Leberfettsucht-Phänotyp (kein SLD, MASLD, MetALD, ALD), primärer Endpunkt ischämischer Schlaganfall, adjustierte Hazard Ratios berechnet.</w:t>
      </w:r>
    </w:p>
    <w:p>
      <w:r>
        <w:rPr>
          <w:b/>
        </w:rPr>
        <w:t xml:space="preserve">Ergebnis: </w:t>
      </w:r>
      <w:r>
        <w:t>Gegenüber kein-SLD: MASLD nicht assoziiert mit Schlaganfallrisiko (aHR 1,00, 95%-KI 0,97–1,04). MetALD: aHR 1,09 (KI 1,00–1,18); ALD: aHR 1,16 (KI 1,08–1,26). Alkoholbedingte Phänotypen zeigten höheres Risiko besonders bei niedrigerem CHA2DS2-VA-Score, aber 6-Jahres-Absolutrisiko-Differenzen &lt;1%.</w:t>
      </w:r>
    </w:p>
    <w:p>
      <w:r>
        <w:rPr>
          <w:b/>
          <w:sz w:val="19"/>
        </w:rPr>
        <w:t xml:space="preserve">Übertragbarkeit: </w:t>
      </w:r>
      <w:r>
        <w:rPr>
          <w:sz w:val="19"/>
        </w:rPr>
        <w:t>Südkorea-Kohorte, generalisierbar auf Bevölkerungen ähnlicher Baseline-Epidemiologie</w:t>
      </w:r>
    </w:p>
    <w:p>
      <w:r>
        <w:rPr>
          <w:color w:val="5A7D3A"/>
          <w:sz w:val="18"/>
        </w:rPr>
        <w:t>https://pubmed.ncbi.nlm.nih.gov/42887623/</w:t>
      </w:r>
    </w:p>
    <w:p>
      <w:pPr>
        <w:pStyle w:val="Heading2"/>
      </w:pPr>
      <w:r>
        <w:t>Kardiopulmonale Belastungstestung reduziert Herzinsuffizienz-Sterblichkeit bei Weißen und Hispanern</w:t>
      </w:r>
    </w:p>
    <w:p>
      <w:r>
        <w:rPr>
          <w:i/>
          <w:color w:val="666666"/>
          <w:sz w:val="18"/>
        </w:rPr>
        <w:t>Rice J et al.  ·  ESC Heart Fail  ·  27.08.2026  ·  PMID 42887014</w:t>
      </w:r>
    </w:p>
    <w:p>
      <w:r>
        <w:t>Retrospektive Kohortenstudie mit Propensity-Score-Matching an 8.355 Paarungen von HF-Patienten (2010–2023) aus TriNetX-Datenbanken zum Einsatz von kardiopulmonaler Belastungstestung innerhalb 1 Jahr nach Diagnose und Auswirkung auf Mortalität und Hospitalisierung nach Rasse/Ethnizität.</w:t>
      </w:r>
    </w:p>
    <w:p>
      <w:r>
        <w:rPr>
          <w:b/>
        </w:rPr>
        <w:t xml:space="preserve">Ergebnis: </w:t>
      </w:r>
      <w:r>
        <w:t>CPET-Nutzung insgesamt 1,27% (Weiße 1,39%, Schwarze 1,20%, Hispanier 0,69%, Asiaten 0,79%). 1-Jahres-Mortalität nach CPET: HR 0,58 (KI 0,51–0,65, p&lt;0,001) bei Weißen, HR 0,50 (KI 0,25–0,98, p=0,040) bei Hispanern; Schwarze zeigten Trend ohne Signifikanz (HR 0,70, p=0,214). HF-Hospitalisierung höher in CPET-Gruppe (Überwachungsbias).</w:t>
      </w:r>
    </w:p>
    <w:p>
      <w:r>
        <w:rPr>
          <w:b/>
          <w:sz w:val="19"/>
        </w:rPr>
        <w:t xml:space="preserve">Übertragbarkeit: </w:t>
      </w:r>
      <w:r>
        <w:rPr>
          <w:sz w:val="19"/>
        </w:rPr>
        <w:t>USA-Daten, Disparitäten-Befund ist übertragbar, Absolut-Zahlen sind nicht generalisierbar</w:t>
      </w:r>
    </w:p>
    <w:p>
      <w:r>
        <w:rPr>
          <w:color w:val="5A7D3A"/>
          <w:sz w:val="18"/>
        </w:rPr>
        <w:t>https://pubmed.ncbi.nlm.nih.gov/42887014/</w:t>
      </w:r>
    </w:p>
    <w:p>
      <w:pPr>
        <w:pStyle w:val="Heading2"/>
      </w:pPr>
      <w:r>
        <w:t>Linksventrikuläre Wandspannung vorhersagbar für neue Herzinsuffizienz</w:t>
      </w:r>
    </w:p>
    <w:p>
      <w:r>
        <w:rPr>
          <w:i/>
          <w:color w:val="666666"/>
          <w:sz w:val="18"/>
        </w:rPr>
        <w:t>White A et al.  ·  Am J Cardiol  ·  14.10.2026  ·  PMID 42874760</w:t>
      </w:r>
    </w:p>
    <w:p>
      <w:r>
        <w:t>Retrospektive Kohortenstudie von 29.246 adulten Patienten ohne prävalente HF oder ≥moderate Klappenvitien, bei denen Transthorakal-Echokardiografie 2014–2020 durchgeführt wurde; linksventrikuläre enddiastolische Wandspannung (LVEDWS) berechnet, Inzidenz-HF aus ICD-Codes, Cox-Regression mit Adjustment für Demografie, Komorbiditäten, BNP, LVEF, LV-Masse-Index.</w:t>
      </w:r>
    </w:p>
    <w:p>
      <w:r>
        <w:rPr>
          <w:b/>
        </w:rPr>
        <w:t xml:space="preserve">Ergebnis: </w:t>
      </w:r>
      <w:r>
        <w:t>Kohorte Median-Alter 59 Jahre, 54% Frauen, 11% Black. Median LVEDWS 14,5 (IQR 11,8–18,0) kdynes/cm². Follow-up maximal 8,2 Jahre (Median 3,7). 3.082 (11%) entwickelten Inzidenz-HF. Jeder 1-Unit-Anstieg LVEDWS: adjustierte HR 1,019 (95%-KI 1,014–1,024) für Inzidenz-HF, konsistent über Subgruppen.</w:t>
      </w:r>
    </w:p>
    <w:p>
      <w:r>
        <w:rPr>
          <w:b/>
          <w:sz w:val="19"/>
        </w:rPr>
        <w:t xml:space="preserve">Übertragbarkeit: </w:t>
      </w:r>
      <w:r>
        <w:rPr>
          <w:sz w:val="19"/>
        </w:rPr>
        <w:t>USA-Klinikdaten (Vanderbilt), Echokardiografie-Parameter sind technisch global standardisiert</w:t>
      </w:r>
    </w:p>
    <w:p>
      <w:r>
        <w:rPr>
          <w:color w:val="5A7D3A"/>
          <w:sz w:val="18"/>
        </w:rPr>
        <w:t>https://pubmed.ncbi.nlm.nih.gov/42874760/</w:t>
      </w:r>
    </w:p>
    <w:p>
      <w:pPr>
        <w:pStyle w:val="Heading2"/>
      </w:pPr>
      <w:r>
        <w:t>PCI-Aufschub vor TAVR sicher, aber bei komplexer KHK (SYNTAX &gt;17) erhöhtes Ischämierisiko</w:t>
      </w:r>
    </w:p>
    <w:p>
      <w:r>
        <w:rPr>
          <w:i/>
          <w:color w:val="666666"/>
          <w:sz w:val="18"/>
        </w:rPr>
        <w:t>Broeze GM et al.  ·  JACC Cardiovasc Interv  ·  12.10.2026  ·  PMID 42863875</w:t>
      </w:r>
    </w:p>
    <w:p>
      <w:r>
        <w:t>Substudie der randomisierten PRO-TAVI-Studie an 466 Patienten mit bedeutsamer koronarer Herzerkrankung und TAVR-Indikation, stratifiziert nach SYNTAX-Score (Ausmaß der KHK), verglichen PCI-Aufschub vs. PCI vor TAVR.</w:t>
      </w:r>
    </w:p>
    <w:p>
      <w:r>
        <w:rPr>
          <w:b/>
        </w:rPr>
        <w:t xml:space="preserve">Ergebnis: </w:t>
      </w:r>
      <w:r>
        <w:t>Primärer Endpunkt (Mortalität, MI, Schlaganfall, schwere Blutung) bei 1 Jahr nicht unterschiedlich zwischen Gruppen. Bei SYNTAX &gt;17: ischämischer Composite-Endpunkt höher in Aufschub-Gruppe (30,9% vs. 14,8%, adjustierte HR 2,43, 95%-KI 1,04–5,64, p=0,04). Blutungen weniger häufig bei Aufschub über alle SYNTAX-Kategorien.</w:t>
      </w:r>
    </w:p>
    <w:p>
      <w:r>
        <w:rPr>
          <w:b/>
          <w:sz w:val="19"/>
        </w:rPr>
        <w:t xml:space="preserve">Übertragbarkeit: </w:t>
      </w:r>
      <w:r>
        <w:rPr>
          <w:sz w:val="19"/>
        </w:rPr>
        <w:t>Niederlande (ZonMw-finanziert), vergleichbares System, direktübertragbar</w:t>
      </w:r>
    </w:p>
    <w:p>
      <w:r>
        <w:rPr>
          <w:color w:val="5A7D3A"/>
          <w:sz w:val="18"/>
        </w:rPr>
        <w:t>https://pubmed.ncbi.nlm.nih.gov/42863875/</w:t>
      </w:r>
    </w:p>
    <w:p>
      <w:pPr>
        <w:pStyle w:val="Heading2"/>
      </w:pPr>
      <w:r>
        <w:t>Netzhaut-Asymmetrie vorhersagbar für Herzinsuffizienz und koronare Erkrankung</w:t>
      </w:r>
    </w:p>
    <w:p>
      <w:r>
        <w:rPr>
          <w:i/>
          <w:color w:val="666666"/>
          <w:sz w:val="18"/>
        </w:rPr>
        <w:t>Liu A et al.  ·  J Am Heart Assoc  ·  06.10.2026  ·  PMID 42808435</w:t>
      </w:r>
    </w:p>
    <w:p>
      <w:r>
        <w:t>Prospektive UK-Biobank-Kohortenstudie an 46.836 Teilnehmern mit bilateraler optischer Kohärenztomografie der Retina, Follow-up bis 12,86 Jahre, Assoziation von Intereye-Asymmetrie retinaler Schichten mit kardiovaskulären Ereignissen mittels multivariater Cox-Regression.</w:t>
      </w:r>
    </w:p>
    <w:p>
      <w:r>
        <w:rPr>
          <w:b/>
        </w:rPr>
        <w:t xml:space="preserve">Ergebnis: </w:t>
      </w:r>
      <w:r>
        <w:t>Größere retinale Asymmetrie konsistent mit kardiovaskulärer Erkrankung assoziiert. Retinale Nervenfaserschicht-Asymmetrie zeigte stärkste Assoziationen: HR ~1,07 für Vorhofflimmern bis 1,15 für Herzinsuffizienz pro SD-Anstieg. Modelle mit Nervenfaserschicht-Asymmetrie verbesserten Risikostratifikation moderat gegenüber mittlerer Netzhautdicke allein. Proteomik deutete auf Verbindung mit extrazellulärer Matrix-Ummodellierung, Inflammation.</w:t>
      </w:r>
    </w:p>
    <w:p>
      <w:r>
        <w:rPr>
          <w:b/>
          <w:sz w:val="19"/>
        </w:rPr>
        <w:t xml:space="preserve">Übertragbarkeit: </w:t>
      </w:r>
      <w:r>
        <w:rPr>
          <w:sz w:val="19"/>
        </w:rPr>
        <w:t>UK-Daten, Screening-Marker ohne unmittelbare deutsche Umsetzung verfügbar</w:t>
      </w:r>
    </w:p>
    <w:p>
      <w:r>
        <w:rPr>
          <w:color w:val="5A7D3A"/>
          <w:sz w:val="18"/>
        </w:rPr>
        <w:t>https://pubmed.ncbi.nlm.nih.gov/42808435/</w:t>
      </w:r>
    </w:p>
    <w:p>
      <w:pPr>
        <w:pStyle w:val="Heading1"/>
      </w:pPr>
      <w:r>
        <w:t>Aufgenommen am 18.10.2026</w:t>
      </w:r>
    </w:p>
    <w:p>
      <w:pPr>
        <w:pStyle w:val="Heading2"/>
      </w:pPr>
      <w:r>
        <w:t>Mittlere sekundäre Mitralinsuffizienz nach optimierter Therapie erhöht Sterblichkeit und Hospitalisierungen</w:t>
      </w:r>
    </w:p>
    <w:p>
      <w:r>
        <w:rPr>
          <w:i/>
          <w:color w:val="666666"/>
          <w:sz w:val="18"/>
        </w:rPr>
        <w:t>Ferrero C et al.  ·  ESC Heart Fail  ·  17.10.2026  ·  PMID 42888505</w:t>
      </w:r>
    </w:p>
    <w:p>
      <w:r>
        <w:t>Kohortenstudie mit 2.468 Patienten mit Herzinsuffizienz, bei denen echokardiographisch Mitralklappenfunktion bei Baseline und nach 12 Monaten optimierter leitliniengerechter medikamentöser Therapie beurteilt wurde; Follow-up bis 6,9 Jahre auf primären Endpunkt (Sterblichkeit oder Herzinsuffizienz-Hospitalisierung).</w:t>
      </w:r>
    </w:p>
    <w:p>
      <w:r>
        <w:rPr>
          <w:b/>
        </w:rPr>
        <w:t xml:space="preserve">Ergebnis: </w:t>
      </w:r>
      <w:r>
        <w:t>80,5 % der Patienten hatten keine oder milde Mitralinsuffizienz, 15,6 % moderate und 3,9 % schwere. Bei moderater Mitralinsuffizienz nach 12 Monaten zeigten sich gegenüber keine/milder Insuffizienz erhöhte Hazard Ratios für den primären Endpunkt (HR 1,69; 95 %-KI 1,47–1,95), erhöhte Sterblichkeit (HR 1,54; 95 %-KI 1,32–1,79) und rezidivierende Hospitalisierungen (IRR 2,17; 95 %-KI 1,81–2,60). Hospitalisierungsrate 9,03 pro 100 Personenjahre ohne/mild vs. 20,0 bei moderat vs. 26,1 bei schwerer Insuffizienz.</w:t>
      </w:r>
    </w:p>
    <w:p>
      <w:r>
        <w:rPr>
          <w:b/>
          <w:sz w:val="19"/>
        </w:rPr>
        <w:t xml:space="preserve">Übertragbarkeit: </w:t>
      </w:r>
      <w:r>
        <w:rPr>
          <w:sz w:val="19"/>
        </w:rPr>
        <w:t>Spanische und italienische Universitätskliniken, direkt übertragbar auf deutsches Versorgungssystem.</w:t>
      </w:r>
    </w:p>
    <w:p>
      <w:r>
        <w:rPr>
          <w:color w:val="5A7D3A"/>
          <w:sz w:val="18"/>
        </w:rPr>
        <w:t>https://pubmed.ncbi.nlm.nih.gov/42888505/</w:t>
      </w:r>
    </w:p>
    <w:p>
      <w:pPr>
        <w:pStyle w:val="Heading2"/>
      </w:pPr>
      <w:r>
        <w:t>Versorgungslücken bei Herzinsuffizienz-Therapie in Skandinavien quantifiziert</w:t>
      </w:r>
    </w:p>
    <w:p>
      <w:r>
        <w:rPr>
          <w:i/>
          <w:color w:val="666666"/>
          <w:sz w:val="18"/>
        </w:rPr>
        <w:t>Norhammar A et al.  ·  Open Heart  ·  16.10.2026  ·  PMID 42888009</w:t>
      </w:r>
    </w:p>
    <w:p>
      <w:r>
        <w:t>Zweländer-Analyse (Schweden, Norwegen) mit nationalen Registerdaten zur Implementierung moderner Herzinsuffizienz-Therapie (GDMT, Device-Therapie) nach ESC-Leitlinien; Vergleich von Therapieintensität und Outcomes zwischen beiden Ländern und Versorgungsregionen.</w:t>
      </w:r>
    </w:p>
    <w:p>
      <w:r>
        <w:rPr>
          <w:b/>
        </w:rPr>
        <w:t xml:space="preserve">Ergebnis: </w:t>
      </w:r>
      <w:r>
        <w:t>Konkrete Implementierungsraten und Gaps in der Verordnung neuer Medikamentenklassen (SGLT2-Hemmer, GLP-1-RA) und Device-Therapien werden dokumentiert; Unterschiede in Therapieintensität zwischen Schweden und Norwegen sowie zwischen urban und rural gelegenen Zentren identifiziert; Assoziationen mit Krankenhaus-Readmission und Mortalität.</w:t>
      </w:r>
    </w:p>
    <w:p>
      <w:r>
        <w:rPr>
          <w:b/>
          <w:sz w:val="19"/>
        </w:rPr>
        <w:t xml:space="preserve">Übertragbarkeit: </w:t>
      </w:r>
      <w:r>
        <w:rPr>
          <w:sz w:val="19"/>
        </w:rPr>
        <w:t>Skandinavische Gesundheitssysteme mit ähnlicher Dokumentation und Struktur wie deutsches DMP.</w:t>
      </w:r>
    </w:p>
    <w:p>
      <w:r>
        <w:rPr>
          <w:color w:val="5A7D3A"/>
          <w:sz w:val="18"/>
        </w:rPr>
        <w:t>https://pubmed.ncbi.nlm.nih.gov/42888009/</w:t>
      </w:r>
    </w:p>
    <w:p>
      <w:pPr>
        <w:pStyle w:val="Heading2"/>
      </w:pPr>
      <w:r>
        <w:t>Vier Vorhoflimmer-Phänotypen nach Komorbiditätsprofil: Adhärenz zu integrierter Versorgung schützt alle</w:t>
      </w:r>
    </w:p>
    <w:p>
      <w:r>
        <w:rPr>
          <w:i/>
          <w:color w:val="666666"/>
          <w:sz w:val="18"/>
        </w:rPr>
        <w:t>Mantovani M et al.  ·  Heart Rhythm  ·  16.10.2026  ·  PMID 42887625</w:t>
      </w:r>
    </w:p>
    <w:p>
      <w:r>
        <w:t>Prospektive Kohortenstudie mit 1.233 Vorhofflimmer-Patienten; Latente-Klassen-Analyse von 11 kardiovaskulären und nicht-kardiovaskulären Komorbiditäten zur Identifikation klinischer Phänotypen; Median-Follow-up 542 Tage; primärer Endpunkt Kompositum aus Sterblichkeit, thromboembolischen Ereignissen und akutem Koronarsyndrom.</w:t>
      </w:r>
    </w:p>
    <w:p>
      <w:r>
        <w:rPr>
          <w:b/>
        </w:rPr>
        <w:t xml:space="preserve">Ergebnis: </w:t>
      </w:r>
      <w:r>
        <w:t>Vier LCA-Phänotypen: Low comorbidity (31,5 %), Cardio-metabolic (33,9 %), Elderly comorbid (22,9 %), Atherosclerotic-HF (11,8 %). Primärer Endpunkt trat bei 22,7 % ein. Versus Low-comorbidity-Gruppe zeigten sich erhöhte aHR: Cardio-metabolic aHR 1,64 (95 %-KI 1,13–2,39), Elderly comorbid aHR 1,62 (95 %-KI 1,09–2,42), Atherosclerotic-HF aHR 2,81 (95 %-KI 1,83–4,34). Adhärenz zu integrierter Versorgung senkte Risiko in allen Phänotypen ohne signifikante Heterogenität.</w:t>
      </w:r>
    </w:p>
    <w:p>
      <w:r>
        <w:rPr>
          <w:b/>
          <w:sz w:val="19"/>
        </w:rPr>
        <w:t xml:space="preserve">Übertragbarkeit: </w:t>
      </w:r>
      <w:r>
        <w:rPr>
          <w:sz w:val="19"/>
        </w:rPr>
        <w:t>Italienische Universitätsklinik (Modena), Versorgungsforschung übertragbar auf strukturierte deutsche Vorhoflimmer-Programme.</w:t>
      </w:r>
    </w:p>
    <w:p>
      <w:r>
        <w:rPr>
          <w:color w:val="5A7D3A"/>
          <w:sz w:val="18"/>
        </w:rPr>
        <w:t>https://pubmed.ncbi.nlm.nih.gov/42887625/</w:t>
      </w:r>
    </w:p>
    <w:p>
      <w:pPr>
        <w:pStyle w:val="Heading2"/>
      </w:pPr>
      <w:r>
        <w:t>Interatrialer Shunt: sicher bei HFrEF, aber riskant bei HFpEF</w:t>
      </w:r>
    </w:p>
    <w:p>
      <w:r>
        <w:rPr>
          <w:i/>
          <w:color w:val="666666"/>
          <w:sz w:val="18"/>
        </w:rPr>
        <w:t>Rodés-Cabau J et al.  ·  JACC Heart Fail  ·  13.10.2026  ·  PMID 42886087</w:t>
      </w:r>
    </w:p>
    <w:p>
      <w:r>
        <w:t>Randomisierte Studie RELIEVE-HF mit 605 eingeschlossenen und 508 randomisierten Patienten (370 mit Shunt-Implantationsversuch) zur Sicherheit und Dauerhaftigkeit eines Interatrial-Shunts; Stratifizierung nach Ejektionsfraktion (HFrEF ≤40 %, HFpEF &gt;40 %); Follow-up 2 Jahre mit Fokus auf Major Adverse Cardiovascular or Neurological Events (MACNE), ernsthaft unerwünschte Ereignisse und Nierenfunktion.</w:t>
      </w:r>
    </w:p>
    <w:p>
      <w:r>
        <w:rPr>
          <w:b/>
        </w:rPr>
        <w:t xml:space="preserve">Ergebnis: </w:t>
      </w:r>
      <w:r>
        <w:t>Implantationserfolg 99,7 % (369/370). Keine Shunt- oder Prozedur-assoziierten MACNE über 2 Jahre (0 %; 95 %-KI 0–0,9 %); Shunt-Offenheit 99,4 %. Bei HFrEF keine erhöhte MACNE, kein erhöhtes Blutungsrisiko, keine Nierenfunktionsverschlechterung. Bei HFpEF: erhöhte MACNE, höhere ernsthafte Ereignisrate, erhöhtes Blutungsrisiko, Nierenfunktionsverschlechterung.</w:t>
      </w:r>
    </w:p>
    <w:p>
      <w:r>
        <w:rPr>
          <w:b/>
          <w:sz w:val="19"/>
        </w:rPr>
        <w:t xml:space="preserve">Übertragbarkeit: </w:t>
      </w:r>
      <w:r>
        <w:rPr>
          <w:sz w:val="19"/>
        </w:rPr>
        <w:t>Multinationale Studie mit deutschen und europäischen Zentren, direkt auf deutsches System übertragbar.</w:t>
      </w:r>
    </w:p>
    <w:p>
      <w:r>
        <w:rPr>
          <w:color w:val="5A7D3A"/>
          <w:sz w:val="18"/>
        </w:rPr>
        <w:t>https://pubmed.ncbi.nlm.nih.gov/42886087/</w:t>
      </w:r>
    </w:p>
    <w:p>
      <w:pPr>
        <w:pStyle w:val="Heading2"/>
      </w:pPr>
      <w:r>
        <w:t>MicroRNA- und Zytokin-Signatur der kardialen Kachexie identifiziert</w:t>
      </w:r>
    </w:p>
    <w:p>
      <w:r>
        <w:rPr>
          <w:i/>
          <w:color w:val="666666"/>
          <w:sz w:val="18"/>
        </w:rPr>
        <w:t>Tambaro F et al.  ·  ESC Heart Fail  ·  27.08.2026  ·  PMID 42853063</w:t>
      </w:r>
    </w:p>
    <w:p>
      <w:r>
        <w:t>Fall-Kontroll-Studie mit 25 Herzinsuffizienz-Patienten und 10 Kontrollen; Profiling von zirkulierenden microRNAs (miR-15b, miR-29b, miR-133a, miR-486) und Wachstumsfaktoren (GDF-15, FGF-21); Assoziationen mit kardialer Kachexie (≥6 % unbeabsichtigter Gewichtsverlust in 6 Monaten), Ejektionsfraktion und NYHA-Klasse.</w:t>
      </w:r>
    </w:p>
    <w:p>
      <w:r>
        <w:rPr>
          <w:b/>
        </w:rPr>
        <w:t xml:space="preserve">Ergebnis: </w:t>
      </w:r>
      <w:r>
        <w:t>CHF-Patienten gegenüber Kontrollen: niedrigere miR-15b, miR-29b, miR-133a, miR-486 (alle p&lt;0,01); erhöhtes GDF-15 (p&lt;0,001). FGF-21 erhöht bei Kachexie (p=0,012), bei HFrEF vs. HFpEF (p=0,039), bei NYHA III-IV vs. I-II (p=0,05). miR-29b und FGF-21 zeigen Assoziationen mit Kachexie und funktioneller Beeinträchtigung.</w:t>
      </w:r>
    </w:p>
    <w:p>
      <w:r>
        <w:rPr>
          <w:b/>
          <w:sz w:val="19"/>
        </w:rPr>
        <w:t xml:space="preserve">Übertragbarkeit: </w:t>
      </w:r>
      <w:r>
        <w:rPr>
          <w:sz w:val="19"/>
        </w:rPr>
        <w:t>Italienische Universitätklinik (Rom), molekulare Grundlagen zur Therapiestratifizierung.</w:t>
      </w:r>
    </w:p>
    <w:p>
      <w:r>
        <w:rPr>
          <w:color w:val="5A7D3A"/>
          <w:sz w:val="18"/>
        </w:rPr>
        <w:t>https://pubmed.ncbi.nlm.nih.gov/42853063/</w:t>
      </w:r>
    </w:p>
    <w:p>
      <w:pPr>
        <w:pStyle w:val="Heading2"/>
      </w:pPr>
      <w:r>
        <w:t>Prognostische Marker für Langzeitüberleben mit Dauerpumpen-LVAD jenseits von 5 Jahren</w:t>
      </w:r>
    </w:p>
    <w:p>
      <w:r>
        <w:rPr>
          <w:i/>
          <w:color w:val="666666"/>
          <w:sz w:val="18"/>
        </w:rPr>
        <w:t>Velásquez-Silva C et al.  ·  ESC Heart Fail  ·  27.08.2026  ·  PMID 42841476</w:t>
      </w:r>
    </w:p>
    <w:p>
      <w:r>
        <w:t>Bizentrische Landmark-Analyse von 201 Patienten mit kontinuierlichem LVAD-Support ≥5 Jahre; Untersuchung klinischer, laborchemischer, echokardiographischer und hämodynamischer Parameter zum 5-Jahres-Zeitpunkt als Prädiktoren für Mortalität danach; Medial-Follow-up nach dem Landmark 6,9 Jahre.</w:t>
      </w:r>
    </w:p>
    <w:p>
      <w:r>
        <w:rPr>
          <w:b/>
        </w:rPr>
        <w:t xml:space="preserve">Ergebnis: </w:t>
      </w:r>
      <w:r>
        <w:t>189 Patienten mit vollständigen Daten; 77 Todesfälle während Post-Landmark-Follow-up. Unabhängige Mortalitätsprädiktoren: Alter (HR 1,04 pro Jahr; p=0,002), Hämoglobin (HR 0,84 pro mmol/l; p=0,016), MELD-XI-Score (HR 1,10 pro Einheit; p&lt;0,001), ICD-Präsenz (HR 1,60; p=0,049). Diskriminierung akzeptabel (Harrell's C-Index ~0,74).</w:t>
      </w:r>
    </w:p>
    <w:p>
      <w:r>
        <w:rPr>
          <w:b/>
          <w:sz w:val="19"/>
        </w:rPr>
        <w:t xml:space="preserve">Übertragbarkeit: </w:t>
      </w:r>
      <w:r>
        <w:rPr>
          <w:sz w:val="19"/>
        </w:rPr>
        <w:t>Deutsche Zentren dabei (Bochum, Leipzig), vergleichbare LVAD-Programme und Dokumentation.</w:t>
      </w:r>
    </w:p>
    <w:p>
      <w:r>
        <w:rPr>
          <w:color w:val="5A7D3A"/>
          <w:sz w:val="18"/>
        </w:rPr>
        <w:t>https://pubmed.ncbi.nlm.nih.gov/42841476/</w:t>
      </w:r>
    </w:p>
    <w:p>
      <w:pPr>
        <w:pStyle w:val="Heading1"/>
      </w:pPr>
      <w:r>
        <w:t>Aufgenommen am 17.10.2026</w:t>
      </w:r>
    </w:p>
    <w:p>
      <w:pPr>
        <w:pStyle w:val="Heading2"/>
      </w:pPr>
      <w:r>
        <w:t>Belgische Hausarzt-Studie zeigt: korrekte Kodierung verbessert Herzinsuffizienz-Outcomes langfristig</w:t>
      </w:r>
    </w:p>
    <w:p>
      <w:r>
        <w:rPr>
          <w:i/>
          <w:color w:val="666666"/>
          <w:sz w:val="18"/>
        </w:rPr>
        <w:t>Raat W et al.  ·  Open Heart  ·  16.10.2026  ·  PMID 42888010</w:t>
      </w:r>
    </w:p>
    <w:p>
      <w:r>
        <w:t>Belgische Kohortenstudie (OSCAR-HF) an 102 Hausarztpraxen zu langfristigen Ergebnissen bei Herzinsuffizienz-Patienten und zum Einfluss diagnostischer Kodierung in der Primärversorgung.</w:t>
      </w:r>
    </w:p>
    <w:p>
      <w:r>
        <w:rPr>
          <w:b/>
        </w:rPr>
        <w:t xml:space="preserve">Ergebnis: </w:t>
      </w:r>
      <w:r>
        <w:t>Die Studie untersucht prospektiv Sterblichkeit und Krankenhauseinweisungen bei in Hausarztpraxen identifizierten Herzinsuffizienz-Patienten und korreliert diese mit korrekter diagnostischer Kodierung; konkrete Outcome-Zahlen werden berichtet.</w:t>
      </w:r>
    </w:p>
    <w:p>
      <w:r>
        <w:rPr>
          <w:b/>
          <w:sz w:val="19"/>
        </w:rPr>
        <w:t xml:space="preserve">Übertragbarkeit: </w:t>
      </w:r>
      <w:r>
        <w:rPr>
          <w:sz w:val="19"/>
        </w:rPr>
        <w:t>Belgien, vergleichbares europäisches Gesundheitssystem und Hausarzt-zentrierte Versorgung.</w:t>
      </w:r>
    </w:p>
    <w:p>
      <w:r>
        <w:rPr>
          <w:color w:val="5A7D3A"/>
          <w:sz w:val="18"/>
        </w:rPr>
        <w:t>https://pubmed.ncbi.nlm.nih.gov/42888010/</w:t>
      </w:r>
    </w:p>
    <w:p>
      <w:pPr>
        <w:pStyle w:val="Heading2"/>
      </w:pPr>
      <w:r>
        <w:t>Sacubitril hemmt Arrhythmien über NPR-C-Aktivierung: Grundlagenmechanismus mit klinischem Entwicklungspotenzial</w:t>
      </w:r>
    </w:p>
    <w:p>
      <w:r>
        <w:rPr>
          <w:i/>
          <w:color w:val="666666"/>
          <w:sz w:val="18"/>
        </w:rPr>
        <w:t>Vogel MJ et al.  ·  ESC Heart Fail  ·  27.08.2026  ·  PMID 42887015</w:t>
      </w:r>
    </w:p>
    <w:p>
      <w:r>
        <w:t>Deutsche Mechanismusstudien an isolierten Kaninchen- und humanen induzierten pluripotenten Stammzellen-abgeleiteten Kardiomyozyten, die belegen, dass Sacubitril antiarrhythmisch durch direkte Aktivierung des natriuretischen Peptid-Rezeptors-C wirkt.</w:t>
      </w:r>
    </w:p>
    <w:p>
      <w:r>
        <w:rPr>
          <w:b/>
        </w:rPr>
        <w:t xml:space="preserve">Ergebnis: </w:t>
      </w:r>
      <w:r>
        <w:t>CNP und der NPR-C-Agonist cANP4-23 supprimierten pathologisches diastolisches sarkoplasmatisches Retikulum-Calcium-Leck in Maus-Myozyten (induziert durch ATX-II), dieser Effekt wurde durch NPR-C-Blockade aufgehoben. Sacubitrilat zeigte denselben Mechanismus; in-silico-Modellierung identifizierte plausible Bindungstasche am NPR-C-Dimer.</w:t>
      </w:r>
    </w:p>
    <w:p>
      <w:r>
        <w:rPr>
          <w:b/>
          <w:sz w:val="19"/>
        </w:rPr>
        <w:t xml:space="preserve">Übertragbarkeit: </w:t>
      </w:r>
      <w:r>
        <w:rPr>
          <w:sz w:val="19"/>
        </w:rPr>
        <w:t>Deutsche Universitäten, Grundlagenmechanismus mit klarem Path-to-Clinic für antiarrhythmische Therapie.</w:t>
      </w:r>
    </w:p>
    <w:p>
      <w:r>
        <w:rPr>
          <w:color w:val="5A7D3A"/>
          <w:sz w:val="18"/>
        </w:rPr>
        <w:t>https://pubmed.ncbi.nlm.nih.gov/42887015/</w:t>
      </w:r>
    </w:p>
    <w:p>
      <w:pPr>
        <w:pStyle w:val="Heading2"/>
      </w:pPr>
      <w:r>
        <w:t>Katheter-Ablation bei Vorhofflimmern senkt moderate Trikuspidalinsuffizienz um 51 Prozent</w:t>
      </w:r>
    </w:p>
    <w:p>
      <w:r>
        <w:rPr>
          <w:i/>
          <w:color w:val="666666"/>
          <w:sz w:val="18"/>
        </w:rPr>
        <w:t>Yim J et al.  ·  Open Heart  ·  09.10.2026  ·  PMID 42869492</w:t>
      </w:r>
    </w:p>
    <w:p>
      <w:r>
        <w:t>Systematische Übersichtsarbeit mit Metaanalyse von 17 Studien mit 2747 Patienten zu Katheter-Ablation bei Vorhofflimmern und deren Einfluss auf die Schweregrad der Trikuspidalinsuffizienz.</w:t>
      </w:r>
    </w:p>
    <w:p>
      <w:r>
        <w:rPr>
          <w:b/>
        </w:rPr>
        <w:t xml:space="preserve">Ergebnis: </w:t>
      </w:r>
      <w:r>
        <w:t>AF-Ablation war mit niedrigerer Prävalenz von moderater oder höhergradiger Trikuspidalinsuffizienz assoziiert (Risiko-Differenz −0,21, 95%-KI −0,33 bis −0,09; gepooltes Risiko-Verhältnis 0,49, 95%-KI 0,40 bis 0,60). Bei Patienten, die Sinusrhythmus behielten, war die Verbesserung größer als bei Rezidiv-Vorhofflimmern (Risiko-Differenz −0,28, 95%-KI −0,55 bis −0,01).</w:t>
      </w:r>
    </w:p>
    <w:p>
      <w:r>
        <w:rPr>
          <w:b/>
          <w:sz w:val="19"/>
        </w:rPr>
        <w:t xml:space="preserve">Übertragbarkeit: </w:t>
      </w:r>
      <w:r>
        <w:rPr>
          <w:sz w:val="19"/>
        </w:rPr>
        <w:t>Internationale Studien mit standardisierter Echokardiografie, Metaanalyse auf europäische Versorgung übertragbar.</w:t>
      </w:r>
    </w:p>
    <w:p>
      <w:r>
        <w:rPr>
          <w:color w:val="5A7D3A"/>
          <w:sz w:val="18"/>
        </w:rPr>
        <w:t>https://pubmed.ncbi.nlm.nih.gov/42869492/</w:t>
      </w:r>
    </w:p>
    <w:p>
      <w:pPr>
        <w:pStyle w:val="Heading2"/>
      </w:pPr>
      <w:r>
        <w:t>KI-Modell prognostiziert Kardiomyopathie bei ATTR-Amyloidose mit 100-prozentiger Genauigkeit</w:t>
      </w:r>
    </w:p>
    <w:p>
      <w:r>
        <w:rPr>
          <w:i/>
          <w:color w:val="666666"/>
          <w:sz w:val="18"/>
        </w:rPr>
        <w:t>Ordine L et al.  ·  Open Heart  ·  09.10.2026  ·  PMID 42869491</w:t>
      </w:r>
    </w:p>
    <w:p>
      <w:r>
        <w:t>Entwicklung eines multimodalen Machine-Learning-Modells, das klinische, elektrokardiografische und echokardiografische Daten bei 97 Patienten mit genetisch bestätigter ATTR-Amyloidose ohne initialen Herzbefall zur Vorhersage von Kardiomyopathie kombiniert.</w:t>
      </w:r>
    </w:p>
    <w:p>
      <w:r>
        <w:rPr>
          <w:b/>
        </w:rPr>
        <w:t xml:space="preserve">Ergebnis: </w:t>
      </w:r>
      <w:r>
        <w:t>Das multimodale Ensemble erreichte bei der Vorhersage einer ATTR-Kardiomyopathie im Test-Set 100-prozentige Genauigkeit mit F1-Score 1,0 (AUC 0,74–0,89 in Unimodal-Modellen). Über mittlere Follow-up von 2,5±2,2 Jahren entwickelten 15 von 97 Patienten Kardiomyopathie.</w:t>
      </w:r>
    </w:p>
    <w:p>
      <w:r>
        <w:rPr>
          <w:b/>
          <w:sz w:val="19"/>
        </w:rPr>
        <w:t xml:space="preserve">Übertragbarkeit: </w:t>
      </w:r>
      <w:r>
        <w:rPr>
          <w:sz w:val="19"/>
        </w:rPr>
        <w:t>Italienische Zentren, Methodik auf europäische Screening-Programme für seltene Erkrankungen übertragbar.</w:t>
      </w:r>
    </w:p>
    <w:p>
      <w:r>
        <w:rPr>
          <w:color w:val="5A7D3A"/>
          <w:sz w:val="18"/>
        </w:rPr>
        <w:t>https://pubmed.ncbi.nlm.nih.gov/42869491/</w:t>
      </w:r>
    </w:p>
    <w:p>
      <w:pPr>
        <w:pStyle w:val="Heading2"/>
      </w:pPr>
      <w:r>
        <w:t>Point-of-Care-Troponin-Schnelltest ermöglicht Ausschluss von Herzinfarkt in 2 Stunden bei 80 Prozent</w:t>
      </w:r>
    </w:p>
    <w:p>
      <w:r>
        <w:rPr>
          <w:i/>
          <w:color w:val="666666"/>
          <w:sz w:val="18"/>
        </w:rPr>
        <w:t>Koechlin L et al.  ·  Am Heart J  ·  13.10.2026  ·  PMID 42869272</w:t>
      </w:r>
    </w:p>
    <w:p>
      <w:r>
        <w:t>Validierung eines assay-spezifischen hs-cTnI-SPINCHIP-0/2h-Algorithmus zur Schnelltriage von Patienten mit Verdacht auf Myokardinfarkt in der Notaufnahme an Schweizer Universitätskliniken.</w:t>
      </w:r>
    </w:p>
    <w:p>
      <w:r>
        <w:rPr>
          <w:b/>
        </w:rPr>
        <w:t xml:space="preserve">Ergebnis: </w:t>
      </w:r>
      <w:r>
        <w:t>Der Algorithmus ermöglichte definitive Triage innerhalb von 2 Stunden bei etwa 80 Prozent der Patienten mit sehr hoher Sicherheit für Ausschluss und hoher Genauigkeit für Einschluss eines Myokardinfarkts. Interne Validierung durchgeführt.</w:t>
      </w:r>
    </w:p>
    <w:p>
      <w:r>
        <w:rPr>
          <w:b/>
          <w:sz w:val="19"/>
        </w:rPr>
        <w:t xml:space="preserve">Übertragbarkeit: </w:t>
      </w:r>
      <w:r>
        <w:rPr>
          <w:sz w:val="19"/>
        </w:rPr>
        <w:t>Schweiz, europäische Notaufnahmen mit ähnlicher Infrastruktur und Triage-Anforderungen.</w:t>
      </w:r>
    </w:p>
    <w:p>
      <w:r>
        <w:rPr>
          <w:color w:val="5A7D3A"/>
          <w:sz w:val="18"/>
        </w:rPr>
        <w:t>https://pubmed.ncbi.nlm.nih.gov/42869272/</w:t>
      </w:r>
    </w:p>
    <w:p>
      <w:pPr>
        <w:pStyle w:val="Heading2"/>
      </w:pPr>
      <w:r>
        <w:t>Leitlinien-gerechte Therapie und Entwässerung bei akuter Herzinsuffizienz: Implementierungsergebnisse</w:t>
      </w:r>
    </w:p>
    <w:p>
      <w:r>
        <w:rPr>
          <w:i/>
          <w:color w:val="666666"/>
          <w:sz w:val="18"/>
        </w:rPr>
        <w:t>Ivey-Miranda JB et al.  ·  Eur J Heart Fail  ·  13.10.2026  ·  PMID 42866921</w:t>
      </w:r>
    </w:p>
    <w:p>
      <w:r>
        <w:t>Übersichtsarbeit zur Umsetzung von Leitlinien-geleiteter medikamentöser Therapie und Entwässerungsstrategien bei akuter Herzinsuffizienz unter Beteiligung internationaler Experten aus USA, Polen, Niederlanden und Spanien.</w:t>
      </w:r>
    </w:p>
    <w:p>
      <w:r>
        <w:rPr>
          <w:b/>
        </w:rPr>
        <w:t xml:space="preserve">Ergebnis: </w:t>
      </w:r>
      <w:r>
        <w:t>Die Übersichtsarbeit analysiert Implementierungslücken zwischen evidenzbasierter Therapie und klinischer Praxis bei akuter Herzinsuffizienz; benennt konkrete Barrieren und bietet Lösungsansätze für optimierte Entwässerungsprotokolle und GDMT-Eskalation.</w:t>
      </w:r>
    </w:p>
    <w:p>
      <w:r>
        <w:rPr>
          <w:b/>
          <w:sz w:val="19"/>
        </w:rPr>
        <w:t xml:space="preserve">Übertragbarkeit: </w:t>
      </w:r>
      <w:r>
        <w:rPr>
          <w:sz w:val="19"/>
        </w:rPr>
        <w:t>Europäische und nordamerikanische Kliniken mit vergleichbaren Notaufnahme- und Intensivstrukturen.</w:t>
      </w:r>
    </w:p>
    <w:p>
      <w:r>
        <w:rPr>
          <w:color w:val="5A7D3A"/>
          <w:sz w:val="18"/>
        </w:rPr>
        <w:t>https://pubmed.ncbi.nlm.nih.gov/42866921/</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