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11.10.2026  |  6 Studien  |  kardio.m-vf.de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Sozioökonomischer Status und Risikofaktorlast bei prämaturen ST-Hebungs-Infarkten</w:t>
      </w:r>
    </w:p>
    <w:p>
      <w:r>
        <w:rPr>
          <w:i/>
          <w:color w:val="666666"/>
          <w:sz w:val="18"/>
        </w:rPr>
        <w:t>Bruno G et al.  ·  Eur J Prev Cardiol  ·  10.10.2026  ·  PMID 42856054</w:t>
      </w:r>
    </w:p>
    <w:p>
      <w:r>
        <w:t>Beobachtungsstudie zu Assoziation von Sozioökonomiestatus und kardiovaskulären Risikofaktoren bei Patienten mit prematuren Herzinfarkten.</w:t>
      </w:r>
    </w:p>
    <w:p>
      <w:r>
        <w:rPr>
          <w:b/>
        </w:rPr>
        <w:t xml:space="preserve">Ergebnis: </w:t>
      </w:r>
      <w:r>
        <w:t>Studie an irischen Patienten mit prematuren ST-Hebungs-Infarkten zeigt, dass Personen aus wirtschaftlich deprivierten Gebieten eine höhere Risikofaktorlast aufweisen. Konkrete Zahlenangaben fehlen im Abstract; Studie identifiziert Versorgungslücken und Ungleichheiten.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Irland; europäische Gesundheitssysteme, Methodik zur Messung von Ungleichheit in der Versorgung.</w:t>
      </w:r>
    </w:p>
    <w:p>
      <w:r>
        <w:rPr>
          <w:color w:val="5A7D3A"/>
          <w:sz w:val="18"/>
        </w:rPr>
        <w:t>https://pubmed.ncbi.nlm.nih.gov/42856054/</w:t>
      </w:r>
    </w:p>
    <w:p>
      <w:pPr>
        <w:pStyle w:val="Heading2"/>
      </w:pPr>
      <w:r>
        <w:t>Diaphragmale Stimulation bei Herzinsuffizienz: Pilot-RCT zeigt Sicherheit und Machbarkeit</w:t>
      </w:r>
    </w:p>
    <w:p>
      <w:r>
        <w:rPr>
          <w:i/>
          <w:color w:val="666666"/>
          <w:sz w:val="18"/>
        </w:rPr>
        <w:t>Fudim M et al.  ·  JACC Heart Fail  ·  07.10.2026  ·  PMID 42853163</w:t>
      </w:r>
    </w:p>
    <w:p>
      <w:r>
        <w:t>Sham-kontrollierte Pilotstudie zur synchronisierten diaphragmalen Stimulation bei symptomatischer Herzinsuffizienz mit reduzierter Ejektionsfraktion.</w:t>
      </w:r>
    </w:p>
    <w:p>
      <w:r>
        <w:rPr>
          <w:b/>
        </w:rPr>
        <w:t xml:space="preserve">Ergebnis: </w:t>
      </w:r>
      <w:r>
        <w:t>Bei 171 Patienten (80 Intervention, 91 Kontrolle) war die mediane Monitortreue 72,4 % der Follow-up-Tage; klinische Betreuer reagierten innerhalb von median 1 Tag auf Benachrichtigungen. HF-Rehospitalisierungen traten in 16,3 % (Intervention) vs. 18,7 % (Kontrolle) auf (HR 0,90, 95%-KI 0,43–1,84; p=0,76). Die Intervention führte zu weniger KI-detektierter physiologischer Instabilität (HR 0,76, 95%-KI 0,60–0,97; p=0,025). Die Studie war machbar mit hoher Patientenakzeptanz, klinische Ereignisse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Bundesrepublik Deutschland, VA-Zentren (USA), vergleichbare strukturierte Nachsorge mit Remote Monitoring.</w:t>
      </w:r>
    </w:p>
    <w:p>
      <w:r>
        <w:rPr>
          <w:color w:val="5A7D3A"/>
          <w:sz w:val="18"/>
        </w:rPr>
        <w:t>https://pubmed.ncbi.nlm.nih.gov/42853163/</w:t>
      </w:r>
    </w:p>
    <w:p>
      <w:pPr>
        <w:pStyle w:val="Heading2"/>
      </w:pPr>
      <w:r>
        <w:t>Pulmonalvenenisolation: Same-Day-Discharge-Protokoll senkt Kosten um 315 €, hält Sicherheit</w:t>
      </w:r>
    </w:p>
    <w:p>
      <w:r>
        <w:rPr>
          <w:i/>
          <w:color w:val="666666"/>
          <w:sz w:val="18"/>
        </w:rPr>
        <w:t>Slingerland SR et al.  ·  Europace  ·  01.10.2026  ·  PMID 42847153</w:t>
      </w:r>
    </w:p>
    <w:p>
      <w:r>
        <w:t>Niederländische Studie zu Kosteneinsparungen und Sicherheit durch Same-Day-Discharge (SDD) nach Pulmonalvenenisolation (PVI): 2.987 Patienten vor (n=1.379) und nach (n=1.608) SDD-Implementierung.</w:t>
      </w:r>
    </w:p>
    <w:p>
      <w:r>
        <w:rPr>
          <w:b/>
        </w:rPr>
        <w:t xml:space="preserve">Ergebnis: </w:t>
      </w:r>
      <w:r>
        <w:t>Kohorte B vs. A: 90-Tage-Mortalität 0 % vs. 0,3 % (p=0,031), keine Unterschiede bei Reablationen &lt;1 Jahr, Blutungen, Tamponade, Phrenikusverletzung, thromboembolischen oder vaskulären Komplikationen (alle p&gt;0,15). Perioperative Krankenhauskosten: €721,52 vs. €1.011,78 (p&lt;0,001); Gesamtkosten peri-/postprozedural €840,37 vs. €1.152,94 (p&lt;0,001). Bereinigt um Baseline: €315 Kostenersparnis pro Patient.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europäisches Versicherungssystem, direkt übertragbar auf deutsche Praxen/Zentren.</w:t>
      </w:r>
    </w:p>
    <w:p>
      <w:r>
        <w:rPr>
          <w:color w:val="5A7D3A"/>
          <w:sz w:val="18"/>
        </w:rPr>
        <w:t>https://pubmed.ncbi.nlm.nih.gov/42847153/</w:t>
      </w:r>
    </w:p>
    <w:p>
      <w:pPr>
        <w:pStyle w:val="Heading2"/>
      </w:pPr>
      <w:r>
        <w:t>Insulinresistenz und genetisches Risiko: Hazard Ratios für Herzinfarkt-Inzidenz und -Rezidiv</w:t>
      </w:r>
    </w:p>
    <w:p>
      <w:r>
        <w:rPr>
          <w:i/>
          <w:color w:val="666666"/>
          <w:sz w:val="18"/>
        </w:rPr>
        <w:t>Ding Y et al.  ·  J Am Heart Assoc  ·  06.10.2026  ·  PMID 42786634</w:t>
      </w:r>
    </w:p>
    <w:p>
      <w:r>
        <w:t>UK-Biobank-Kohortenstudie zur Assoziation von TyG-basierten Insulinresistenz-Indizes und polygenetischem Risiko-Score mit Herzinfarkt-Neuauftreten und -Rezidiv (408.759 Teilnehmer).</w:t>
      </w:r>
    </w:p>
    <w:p>
      <w:r>
        <w:rPr>
          <w:b/>
        </w:rPr>
        <w:t xml:space="preserve">Ergebnis: </w:t>
      </w:r>
      <w:r>
        <w:t>Bei 27.378 von 408.759 Teilnehmern ohne Baseline-KHK trat Inzidenz-KHK auf (6,7 %); 7.620 von 12.895 (59,1 %) mit vorbestehender KHK erlebten Rezidiv. HR (Q4 vs. Q1) für Inzidenz: TyG 1,57 (95%-KI 1,51–1,63), TyG-BMI 1,79 (1,72–1,86), TyG-Taillenumfang 1,95 (1,86–2,04), TyG-WHtR 1,96 (1,88–2,05). Für Rezidiv: HR 1,18–1,26. Signifikante Wechselwirkung zwischen TyG-Indizes und genetischem Risiko bei Inzidenz, nicht bei Rezidiv.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vergleichbar mit europäischen Kohorten-Designs.</w:t>
      </w:r>
    </w:p>
    <w:p>
      <w:r>
        <w:rPr>
          <w:color w:val="5A7D3A"/>
          <w:sz w:val="18"/>
        </w:rPr>
        <w:t>https://pubmed.ncbi.nlm.nih.gov/42786634/</w:t>
      </w:r>
    </w:p>
    <w:p>
      <w:pPr>
        <w:pStyle w:val="Heading2"/>
      </w:pPr>
      <w:r>
        <w:t>ECG/Echo-Indizes unterscheiden kardiale Amyloidose von HCM und Anderson-Fabry-Erkrankung</w:t>
      </w:r>
    </w:p>
    <w:p>
      <w:r>
        <w:rPr>
          <w:i/>
          <w:color w:val="666666"/>
          <w:sz w:val="18"/>
        </w:rPr>
        <w:t>Allegro V et al.  ·  J Am Heart Assoc  ·  06.10.2026  ·  PMID 42786594</w:t>
      </w:r>
    </w:p>
    <w:p>
      <w:r>
        <w:t>Italienische Multicenter-Querschnittsstudie: ECG/Echo-Indizes zur Differenzierung von kardialer Amyloidose, hypertrophischer Kardiomyopathie und Anderson-Fabry-Krankheit bei 1.181 Patienten mit linksventrikulärer Wanddicke &gt;12 mm.</w:t>
      </w:r>
    </w:p>
    <w:p>
      <w:r>
        <w:rPr>
          <w:b/>
        </w:rPr>
        <w:t xml:space="preserve">Ergebnis: </w:t>
      </w:r>
      <w:r>
        <w:t>Von 1.181 Patienten (Medianalter 65 Jahre, 69 % männlich) hatten 35,5 % (n=416) kardiale Amyloidose, 46,5 % (n=594) HCM, 14,5 % (n=171) AFD. Alle ECG/Echo-Indizes unterschieden kardiale Amyloidose von HCM und AFD (p&lt;0,001). QRS-Score/LV-Masse-Index: beste Sensitivität für Amyloidose-Erkennung (Genauigkeit 83 %). QRS/maximale LV-Wanddicke discriminierte alle drei Erkrankungen (Grenzwerte 6,21 vs. 9,81 vs. 11,47;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Gesundheitssystem vergleichbar mit Deutschland, Multicenter-Daten zu häufigen HCM-Zentren.</w:t>
      </w:r>
    </w:p>
    <w:p>
      <w:r>
        <w:rPr>
          <w:color w:val="5A7D3A"/>
          <w:sz w:val="18"/>
        </w:rPr>
        <w:t>https://pubmed.ncbi.nlm.nih.gov/42786594/</w:t>
      </w:r>
    </w:p>
    <w:p>
      <w:pPr>
        <w:pStyle w:val="Heading2"/>
      </w:pPr>
      <w:r>
        <w:t>Gesundheitsungleichheiten prägen Versorgung und Überleben nach thorakaler Aortendissektion in England</w:t>
      </w:r>
    </w:p>
    <w:p>
      <w:r>
        <w:rPr>
          <w:i/>
          <w:color w:val="666666"/>
          <w:sz w:val="18"/>
        </w:rPr>
        <w:t>Abbasciano RG et al.  ·  J Am Heart Assoc  ·  06.10.2026  ·  PMID 42757899</w:t>
      </w:r>
    </w:p>
    <w:p>
      <w:r>
        <w:t>Nationale Kohortenstudie von 33.793 neuen Diagnosen thorakaler Aortendissektion in englischen Krankenhäusern (April 2013–März 2018) zu Zusammenhängen zwischen Alter, Geschlecht, Ethnizität, Deprivation und Region mit 1-Jahres-Sterblichkeit und Behandlungszugang.</w:t>
      </w:r>
    </w:p>
    <w:p>
      <w:r>
        <w:rPr>
          <w:b/>
        </w:rPr>
        <w:t xml:space="preserve">Ergebnis: </w:t>
      </w:r>
      <w:r>
        <w:t>Ältere Patienten, Frauen und Personen aus wirtschaftlich deprivierten Gebieten starben mit höherer Wahrscheinlichkeit innerhalb 1 Jahr nach Diagnose. Ältere Menschen, Personen asiatischer oder schwarzer Abstammung und Deprivierte erhielten seltener frühe Behandlung. Ältere Menschen, Frauen und Deprivierte waren wahrscheinlicher für Überwachungs-Scans innerhalb 6 Monaten und weniger wahrscheinlich für genetische Beratung überwiesen. Signifikante regionale Variation bei Behandlung und Überwachung.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(NHS), europäischer Versorgungskontext, Ungleichheits-Monitoring-Daten.</w:t>
      </w:r>
    </w:p>
    <w:p>
      <w:r>
        <w:rPr>
          <w:color w:val="5A7D3A"/>
          <w:sz w:val="18"/>
        </w:rPr>
        <w:t>https://pubmed.ncbi.nlm.nih.gov/42757899/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