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Kardiologie</w:t>
      </w:r>
    </w:p>
    <w:p>
      <w:r>
        <w:rPr>
          <w:i/>
          <w:color w:val="666666"/>
          <w:sz w:val="18"/>
        </w:rPr>
        <w:t>Stand: 14.09.2026  |  6 Studien  |  kardio.m-vf.de</w:t>
      </w:r>
    </w:p>
    <w:p>
      <w:pPr>
        <w:pStyle w:val="Heading1"/>
      </w:pPr>
      <w:r>
        <w:t>Aufgenommen am 14.09.2026</w:t>
      </w:r>
    </w:p>
    <w:p>
      <w:pPr>
        <w:pStyle w:val="Heading2"/>
      </w:pPr>
      <w:r>
        <w:t>Adipositas verstärkt Herzinfarkt-Schaden durch gesteigerte myeloide TREM1-Expression</w:t>
      </w:r>
    </w:p>
    <w:p>
      <w:r>
        <w:rPr>
          <w:i/>
          <w:color w:val="666666"/>
          <w:sz w:val="18"/>
        </w:rPr>
        <w:t>Gladow N et al.  ·  Basic Res Cardiol  ·  11.09.2026  ·  PMID 42726202</w:t>
      </w:r>
    </w:p>
    <w:p>
      <w:r>
        <w:t>Experimentelle Studie an diätinduziert adipösen und schlanken Mäusen beiden Geschlechts zur Rolle von Myelopoiese und TREM1-Blockade nach experimentellem Herzinfarkt.</w:t>
      </w:r>
    </w:p>
    <w:p>
      <w:r>
        <w:rPr>
          <w:b/>
        </w:rPr>
        <w:t xml:space="preserve">Ergebnis: </w:t>
      </w:r>
      <w:r>
        <w:t>Adipöse Mäuse zeigten höhere Körpergewichte, signifikant erhöhte Myelopoiese in der Milz und höhere periphere Leukozyten als schlanke Weibchen. Überlebensvorteil bei schlanken Tieren: 56 Tage nach MI 87% Überleben vs. 58% bei adipösen (p&lt;0,05). Adipöse Mäuse: erhöhte infarkt-induzierte Myelopoiese, höhere Granulozyt-, Monozyten- und pro-inflammatorische Makrophagen-Zahl im Myokard. TREM1-Expression verstärkt bei adipösen Mäusen am Tag 5 nach MI (RNA-Sequenzierung und Immunohistologie). TREM1-Blockade führte zu signifikant besserer Erhaltung der systolischen Funktion bei adipösen Mäusen.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Grundlagenforschung (Würzburg), erkennbarer Weg zur Therapie (TREM1-Blockade)</w:t>
      </w:r>
    </w:p>
    <w:p>
      <w:r>
        <w:rPr>
          <w:color w:val="5A7D3A"/>
          <w:sz w:val="18"/>
        </w:rPr>
        <w:t>https://pubmed.ncbi.nlm.nih.gov/42726202/</w:t>
      </w:r>
    </w:p>
    <w:p>
      <w:pPr>
        <w:pStyle w:val="Heading2"/>
      </w:pPr>
      <w:r>
        <w:t>Geschlechtsspezifische Unterschiede bei akuter Herzinsuffizienz: Präsentation, Befunde und Genesung</w:t>
      </w:r>
    </w:p>
    <w:p>
      <w:r>
        <w:rPr>
          <w:i/>
          <w:color w:val="666666"/>
          <w:sz w:val="18"/>
        </w:rPr>
        <w:t>Khoraizat A et al.  ·  ESC Heart Fail  ·  09.09.2026  ·  PMID 42714581</w:t>
      </w:r>
    </w:p>
    <w:p>
      <w:r>
        <w:t>Prospektive observationsstudie zu Geschlechtsunterschieden in Klinik, Bildgebung und Kurzzeitverlauf bei 567 hospitalisierten Patienten mit akuter Herzinsuffizienz in Dänemark.</w:t>
      </w:r>
    </w:p>
    <w:p>
      <w:r>
        <w:rPr>
          <w:b/>
        </w:rPr>
        <w:t xml:space="preserve">Ergebnis: </w:t>
      </w:r>
      <w:r>
        <w:t>248 Frauen (43,7%) vs. 319 Männer, Durchschnittsalter 78,2±11,6 Jahre. Frauen älter, häufiger Vorhofflimmern (p&lt;0,05) und Hypertonie, Männer häufiger dyslipidämisch und mit Herzinfarkt-Anamnese. Frauen präsentierten häufiger mit Palpitationen/Ödemen, Männer mit Brustschmerz. Frauen: höhere LVEF (38% vs. 35%; p&lt;0,001), höhere GLS-Absolutwerte (10,5±4,7% vs. 9,7±4,4%; p=0,04), niedrigerer LV-Mass-Index (113 vs. 136 g/m²; p&lt;0,001). Männer höhere B-Linien-Zahl in Lungencsonografie (5 [1-12] vs. 2 [0-9]; p=0,003). Kurzzeitverlauf und 180-Tage-Ergebnisse vergleichbar zwischen Geschlechtern.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(dänisches) Gesundheitssystem, skandinavische Versorgungspraxis</w:t>
      </w:r>
    </w:p>
    <w:p>
      <w:r>
        <w:rPr>
          <w:color w:val="5A7D3A"/>
          <w:sz w:val="18"/>
        </w:rPr>
        <w:t>https://pubmed.ncbi.nlm.nih.gov/42714581/</w:t>
      </w:r>
    </w:p>
    <w:p>
      <w:pPr>
        <w:pStyle w:val="Heading2"/>
      </w:pPr>
      <w:r>
        <w:t>Genetische Varianten erhöhen Herzinsuffizienz-Risiko bei hypoplastischem Linksherz 9-fach</w:t>
      </w:r>
    </w:p>
    <w:p>
      <w:r>
        <w:rPr>
          <w:i/>
          <w:color w:val="666666"/>
          <w:sz w:val="18"/>
        </w:rPr>
        <w:t>Balint BN et al.  ·  J Am Coll Cardiol  ·  08.09.2026  ·  PMID 42714046</w:t>
      </w:r>
    </w:p>
    <w:p>
      <w:r>
        <w:t>Prospektive US-Multizenterstudie (Duke, UNC, Nationwide, Vanderbilt) zur Assoziation seltener Varianten in Kardiomyopathie-Genen mit früher Herzinsuffizienz-Entwicklung bei Neugeborenen mit hypoplastischem Linksherz.</w:t>
      </w:r>
    </w:p>
    <w:p>
      <w:r>
        <w:rPr>
          <w:b/>
        </w:rPr>
        <w:t xml:space="preserve">Ergebnis: </w:t>
      </w:r>
      <w:r>
        <w:t>35 Neugeborene prospektiv eingeschlossen: 7 (20%) entwickelten schwere HF, 10 (28,6%) medizinisch behandelte HF, 18 (51,4%) blieben HF-frei. Pathogene/wahrscheinlich pathogene Varianten assoziiert mit 9-fach erhöhtem Risiko für schwere HF (p=0,02). 67% der schweren HF-Ereignisse im ersten Lebensmonat. Externe Replikation an Nationwide Children's (11-fach erhöht; p&lt;0,05) und Vanderbilt (3-fach; p&lt;0,05). Ambispektive Kohorte (ältere Patienten) zeigten abgeschwächte Assoziationen (p&gt;0,05).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USA-Studie, aber genetische Befunde universell; Risikostratifizierung prinzipiell auf Deutschland übertragbar</w:t>
      </w:r>
    </w:p>
    <w:p>
      <w:r>
        <w:rPr>
          <w:color w:val="5A7D3A"/>
          <w:sz w:val="18"/>
        </w:rPr>
        <w:t>https://pubmed.ncbi.nlm.nih.gov/42714046/</w:t>
      </w:r>
    </w:p>
    <w:p>
      <w:pPr>
        <w:pStyle w:val="Heading2"/>
      </w:pPr>
      <w:r>
        <w:t>Trikuspidalinsuffizienz in ATTR-Kardiomyopathie: Neue quantitative Prognosegrenzwerte</w:t>
      </w:r>
    </w:p>
    <w:p>
      <w:r>
        <w:rPr>
          <w:i/>
          <w:color w:val="666666"/>
          <w:sz w:val="18"/>
        </w:rPr>
        <w:t>Hauptmann L et al.  ·  JAMA Cardiol  ·  31.08.2026  ·  PMID 42671012</w:t>
      </w:r>
    </w:p>
    <w:p>
      <w:r>
        <w:t>Internationale multizentrische Kohortenstudie in Österreich, Italien, Deutschland und Niederlanden zur Ableitung krankheitsspezifischer Prognose-Schwellwerte für Trikuspidalinsuffizienz bei Transthyretin-Amyloid-Kardiomyopathie.</w:t>
      </w:r>
    </w:p>
    <w:p>
      <w:r>
        <w:rPr>
          <w:b/>
        </w:rPr>
        <w:t xml:space="preserve">Ergebnis: </w:t>
      </w:r>
      <w:r>
        <w:t>1124 Patienten (Derivation 745, Validation 379); 324/1124 Patienten (28,8%) starben, 251 (22,3%) hospitalisiert wegen Herzinsuffizienz über Mediann-Nachverfolgung von 25,2 Monaten. Neue Schwellwerte (VCW ≥5 mm, EROA ≥0,25 cm², RegVol ≥20 mL) identifizierten 334 Patienten (29,7%) mit hohem/extremen Risiko vs. 130 (11,6%) nach Leitliniendefinition. Hazard Ratio für Mortalität 1,41 (95%-KI 1,23-1,62) pro Stadium. Überlegene Diskriminierung gegenüber Standarddefinitionen.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multizentrische Daten, vergleichbare Versorgungssysteme in D-A-CH</w:t>
      </w:r>
    </w:p>
    <w:p>
      <w:r>
        <w:rPr>
          <w:color w:val="5A7D3A"/>
          <w:sz w:val="18"/>
        </w:rPr>
        <w:t>https://pubmed.ncbi.nlm.nih.gov/42671012/</w:t>
      </w:r>
    </w:p>
    <w:p>
      <w:pPr>
        <w:pStyle w:val="Heading2"/>
      </w:pPr>
      <w:r>
        <w:t>Transkatheter-Trikuspidalklappnreparatur reduziert Sterblichkeit und Herzinsuffizienz-Hospitalisierung</w:t>
      </w:r>
    </w:p>
    <w:p>
      <w:r>
        <w:rPr>
          <w:i/>
          <w:color w:val="666666"/>
          <w:sz w:val="18"/>
        </w:rPr>
        <w:t>Hausleiter J et al.  ·  N Engl J Med  ·  30.08.2026  ·  PMID 42670975</w:t>
      </w:r>
    </w:p>
    <w:p>
      <w:r>
        <w:t>Randomisierte Studie zum Vergleich von transkatheter Trikuspidalklappnreparatur plus Standardtherapie gegen Standardtherapie allein bei schwerer Trikuspidalinsuffizienz in Deutschland und international.</w:t>
      </w:r>
    </w:p>
    <w:p>
      <w:r>
        <w:rPr>
          <w:b/>
        </w:rPr>
        <w:t xml:space="preserve">Ergebnis: </w:t>
      </w:r>
      <w:r>
        <w:t>Win-Ratio 2,42 (95%-KI 1,76-3,33; p&lt;0,001) für primären kombiniert Endpunkt nach 1 Jahr. Freiheit von Tod oder Herzinsuffizienz-Hospitalisierung über 3 Jahre: 52,4% vs. 21,0% (Hazard Ratio 0,40; 95%-KI 0,29-0,55; p&lt;0,001). Schwere unerwünschte Ereignisse innerhalb 30 Tage in 5,9% der Interventionsgruppe. Praxisveränderndes Ergebnis mit harten Endpunkten.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Studie, DZHK-finanziert, deutsches Patientenkollektiv, direkt übertragbar</w:t>
      </w:r>
    </w:p>
    <w:p>
      <w:r>
        <w:rPr>
          <w:color w:val="5A7D3A"/>
          <w:sz w:val="18"/>
        </w:rPr>
        <w:t>https://pubmed.ncbi.nlm.nih.gov/42670975/</w:t>
      </w:r>
    </w:p>
    <w:p>
      <w:pPr>
        <w:pStyle w:val="Heading2"/>
      </w:pPr>
      <w:r>
        <w:t>Zirkadianer Druck im Vorhof: Abendanstieg auch unter optimierter Diuretika-Therapie</w:t>
      </w:r>
    </w:p>
    <w:p>
      <w:r>
        <w:rPr>
          <w:i/>
          <w:color w:val="666666"/>
          <w:sz w:val="18"/>
        </w:rPr>
        <w:t>Amir Y et al.  ·  Eur J Heart Fail  ·  31.08.2026  ·  PMID 42670644</w:t>
      </w:r>
    </w:p>
    <w:p>
      <w:r>
        <w:t>Observationsstudie mit implantierbarem Drucksensor zu täglichen Schwankungen des linksatrialen Drucks bei ambulanten Herzinsuffizienz-Patienten über 25,5 Monate.</w:t>
      </w:r>
    </w:p>
    <w:p>
      <w:r>
        <w:rPr>
          <w:b/>
        </w:rPr>
        <w:t xml:space="preserve">Ergebnis: </w:t>
      </w:r>
      <w:r>
        <w:t>Über &gt;15.500 Messtage bei 73 Patienten: Medianer linksatrialer Druck abends 12,4 [6,8-18,3] mmHg vs. morgens 10,7 [5,5-17,3] mmHg (p&lt;0,01). Höhere Diuretika-Dosis oder Zweimal-Gabe modifizierte Rhythmus nicht (p=0,98 bzw. p=0,50). Patienten mit akuter Dekompensation zeigten höhere Drücke (14,3 [9,5-19,9] vs. 10,4 [5,4-17,3] mmHg; p&lt;0,01). LAP unabhängig mit erhöhtem Dekompensationsrisiko assoziiert (OR 1,40; 95%-KI 1,10-1,78; p&lt;0,01).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Remote-Monitoring-Technologie, aber Zentren überregional; Dekompensationserkennung relevant für deutsches DMP</w:t>
      </w:r>
    </w:p>
    <w:p>
      <w:r>
        <w:rPr>
          <w:color w:val="5A7D3A"/>
          <w:sz w:val="18"/>
        </w:rPr>
        <w:t>https://pubmed.ncbi.nlm.nih.gov/42670644/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Kardiologie</dc:title>
  <dc:subject/>
  <dc:creator>Monitor Versorgungsforschung</dc:creator>
  <cp:keywords/>
  <dc:description>generated by python-docx</dc:description>
  <cp:lastModifiedBy/>
  <cp:revision>1</cp:revision>
  <dcterms:created xsi:type="dcterms:W3CDTF">2026-09-14T06:00:00Z</dcterms:created>
  <dcterms:modified xsi:type="dcterms:W3CDTF">2026-09-14T06:00:00Z</dcterms:modified>
  <cp:category/>
</cp:coreProperties>
</file>