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Kardiologie</w:t>
      </w:r>
    </w:p>
    <w:p>
      <w:r>
        <w:rPr>
          <w:i/>
          <w:color w:val="666666"/>
          <w:sz w:val="18"/>
        </w:rPr>
        <w:t>Stand: 14.09.2026  |  31 Studien  |  kardio.m-vf.de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Adipositas verstärkt Herzinfarkt-Schaden durch gesteigerte myeloide TREM1-Expression</w:t>
      </w:r>
    </w:p>
    <w:p>
      <w:r>
        <w:rPr>
          <w:i/>
          <w:color w:val="666666"/>
          <w:sz w:val="18"/>
        </w:rPr>
        <w:t>Gladow N et al.  ·  Basic Res Cardiol  ·  11.09.2026  ·  PMID 42726202</w:t>
      </w:r>
    </w:p>
    <w:p>
      <w:r>
        <w:t>Experimentelle Studie an diätinduziert adipösen und schlanken Mäusen beiden Geschlechts zur Rolle von Myelopoiese und TREM1-Blockade nach experimentellem Herzinfarkt.</w:t>
      </w:r>
    </w:p>
    <w:p>
      <w:r>
        <w:rPr>
          <w:b/>
        </w:rPr>
        <w:t xml:space="preserve">Ergebnis: </w:t>
      </w:r>
      <w:r>
        <w:t>Adipöse Mäuse zeigten höhere Körpergewichte, signifikant erhöhte Myelopoiese in der Milz und höhere periphere Leukozyten als schlanke Weibchen. Überlebensvorteil bei schlanken Tieren: 56 Tage nach MI 87% Überleben vs. 58% bei adipösen (p&lt;0,05). Adipöse Mäuse: erhöhte infarkt-induzierte Myelopoiese, höhere Granulozyt-, Monozyten- und pro-inflammatorische Makrophagen-Zahl im Myokard. TREM1-Expression verstärkt bei adipösen Mäusen am Tag 5 nach MI (RNA-Sequenzierung und Immunohistologie). TREM1-Blockade führte zu signifikant besserer Erhaltung der systolischen Funktion bei adipösen Mäusen.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Grundlagenforschung (Würzburg), erkennbarer Weg zur Therapie (TREM1-Blockade)</w:t>
      </w:r>
    </w:p>
    <w:p>
      <w:r>
        <w:rPr>
          <w:color w:val="5A7D3A"/>
          <w:sz w:val="18"/>
        </w:rPr>
        <w:t>https://pubmed.ncbi.nlm.nih.gov/42726202/</w:t>
      </w:r>
    </w:p>
    <w:p>
      <w:pPr>
        <w:pStyle w:val="Heading2"/>
      </w:pPr>
      <w:r>
        <w:t>Geschlechtsspezifische Unterschiede bei akuter Herzinsuffizienz: Präsentation, Befunde und Genesung</w:t>
      </w:r>
    </w:p>
    <w:p>
      <w:r>
        <w:rPr>
          <w:i/>
          <w:color w:val="666666"/>
          <w:sz w:val="18"/>
        </w:rPr>
        <w:t>Khoraizat A et al.  ·  ESC Heart Fail  ·  09.09.2026  ·  PMID 42714581</w:t>
      </w:r>
    </w:p>
    <w:p>
      <w:r>
        <w:t>Prospektive observationsstudie zu Geschlechtsunterschieden in Klinik, Bildgebung und Kurzzeitverlauf bei 567 hospitalisierten Patienten mit akuter Herzinsuffizienz in Dänemark.</w:t>
      </w:r>
    </w:p>
    <w:p>
      <w:r>
        <w:rPr>
          <w:b/>
        </w:rPr>
        <w:t xml:space="preserve">Ergebnis: </w:t>
      </w:r>
      <w:r>
        <w:t>248 Frauen (43,7%) vs. 319 Männer, Durchschnittsalter 78,2±11,6 Jahre. Frauen älter, häufiger Vorhofflimmern (p&lt;0,05) und Hypertonie, Männer häufiger dyslipidämisch und mit Herzinfarkt-Anamnese. Frauen präsentierten häufiger mit Palpitationen/Ödemen, Männer mit Brustschmerz. Frauen: höhere LVEF (38% vs. 35%; p&lt;0,001), höhere GLS-Absolutwerte (10,5±4,7% vs. 9,7±4,4%; p=0,04), niedrigerer LV-Mass-Index (113 vs. 136 g/m²; p&lt;0,001). Männer höhere B-Linien-Zahl in Lungencsonografie (5 [1-12] vs. 2 [0-9]; p=0,003). Kurzzeitverlauf und 180-Tage-Ergebnisse vergleichbar zwischen Geschlechtern.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(dänisches) Gesundheitssystem, skandinavische Versorgungspraxis</w:t>
      </w:r>
    </w:p>
    <w:p>
      <w:r>
        <w:rPr>
          <w:color w:val="5A7D3A"/>
          <w:sz w:val="18"/>
        </w:rPr>
        <w:t>https://pubmed.ncbi.nlm.nih.gov/42714581/</w:t>
      </w:r>
    </w:p>
    <w:p>
      <w:pPr>
        <w:pStyle w:val="Heading2"/>
      </w:pPr>
      <w:r>
        <w:t>Genetische Varianten erhöhen Herzinsuffizienz-Risiko bei hypoplastischem Linksherz 9-fach</w:t>
      </w:r>
    </w:p>
    <w:p>
      <w:r>
        <w:rPr>
          <w:i/>
          <w:color w:val="666666"/>
          <w:sz w:val="18"/>
        </w:rPr>
        <w:t>Balint BN et al.  ·  J Am Coll Cardiol  ·  08.09.2026  ·  PMID 42714046</w:t>
      </w:r>
    </w:p>
    <w:p>
      <w:r>
        <w:t>Prospektive US-Multizenterstudie (Duke, UNC, Nationwide, Vanderbilt) zur Assoziation seltener Varianten in Kardiomyopathie-Genen mit früher Herzinsuffizienz-Entwicklung bei Neugeborenen mit hypoplastischem Linksherz.</w:t>
      </w:r>
    </w:p>
    <w:p>
      <w:r>
        <w:rPr>
          <w:b/>
        </w:rPr>
        <w:t xml:space="preserve">Ergebnis: </w:t>
      </w:r>
      <w:r>
        <w:t>35 Neugeborene prospektiv eingeschlossen: 7 (20%) entwickelten schwere HF, 10 (28,6%) medizinisch behandelte HF, 18 (51,4%) blieben HF-frei. Pathogene/wahrscheinlich pathogene Varianten assoziiert mit 9-fach erhöhtem Risiko für schwere HF (p=0,02). 67% der schweren HF-Ereignisse im ersten Lebensmonat. Externe Replikation an Nationwide Children's (11-fach erhöht; p&lt;0,05) und Vanderbilt (3-fach; p&lt;0,05). Ambispektive Kohorte (ältere Patienten) zeigten abgeschwächte Assoziationen (p&gt;0,05).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genetische Befunde universell; Risikostratifizierung prinzipiell auf Deutschland übertragbar</w:t>
      </w:r>
    </w:p>
    <w:p>
      <w:r>
        <w:rPr>
          <w:color w:val="5A7D3A"/>
          <w:sz w:val="18"/>
        </w:rPr>
        <w:t>https://pubmed.ncbi.nlm.nih.gov/42714046/</w:t>
      </w:r>
    </w:p>
    <w:p>
      <w:pPr>
        <w:pStyle w:val="Heading2"/>
      </w:pPr>
      <w:r>
        <w:t>Trikuspidalinsuffizienz in ATTR-Kardiomyopathie: Neue quantitative Prognosegrenzwerte</w:t>
      </w:r>
    </w:p>
    <w:p>
      <w:r>
        <w:rPr>
          <w:i/>
          <w:color w:val="666666"/>
          <w:sz w:val="18"/>
        </w:rPr>
        <w:t>Hauptmann L et al.  ·  JAMA Cardiol  ·  31.08.2026  ·  PMID 42671012</w:t>
      </w:r>
    </w:p>
    <w:p>
      <w:r>
        <w:t>Internationale multizentrische Kohortenstudie in Österreich, Italien, Deutschland und Niederlanden zur Ableitung krankheitsspezifischer Prognose-Schwellwerte für Trikuspidalinsuffizienz bei Transthyretin-Amyloid-Kardiomyopathie.</w:t>
      </w:r>
    </w:p>
    <w:p>
      <w:r>
        <w:rPr>
          <w:b/>
        </w:rPr>
        <w:t xml:space="preserve">Ergebnis: </w:t>
      </w:r>
      <w:r>
        <w:t>1124 Patienten (Derivation 745, Validation 379); 324/1124 Patienten (28,8%) starben, 251 (22,3%) hospitalisiert wegen Herzinsuffizienz über Mediann-Nachverfolgung von 25,2 Monaten. Neue Schwellwerte (VCW ≥5 mm, EROA ≥0,25 cm², RegVol ≥20 mL) identifizierten 334 Patienten (29,7%) mit hohem/extremen Risiko vs. 130 (11,6%) nach Leitliniendefinition. Hazard Ratio für Mortalität 1,41 (95%-KI 1,23-1,62) pro Stadium. Überlegene Diskriminierung gegenüber Standarddefinitionen.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multizentrische Daten, vergleichbare Versorgungssysteme in D-A-CH</w:t>
      </w:r>
    </w:p>
    <w:p>
      <w:r>
        <w:rPr>
          <w:color w:val="5A7D3A"/>
          <w:sz w:val="18"/>
        </w:rPr>
        <w:t>https://pubmed.ncbi.nlm.nih.gov/42671012/</w:t>
      </w:r>
    </w:p>
    <w:p>
      <w:pPr>
        <w:pStyle w:val="Heading2"/>
      </w:pPr>
      <w:r>
        <w:t>Transkatheter-Trikuspidalklappnreparatur reduziert Sterblichkeit und Herzinsuffizienz-Hospitalisierung</w:t>
      </w:r>
    </w:p>
    <w:p>
      <w:r>
        <w:rPr>
          <w:i/>
          <w:color w:val="666666"/>
          <w:sz w:val="18"/>
        </w:rPr>
        <w:t>Hausleiter J et al.  ·  N Engl J Med  ·  30.08.2026  ·  PMID 42670975</w:t>
      </w:r>
    </w:p>
    <w:p>
      <w:r>
        <w:t>Randomisierte Studie zum Vergleich von transkatheter Trikuspidalklappnreparatur plus Standardtherapie gegen Standardtherapie allein bei schwerer Trikuspidalinsuffizienz in Deutschland und international.</w:t>
      </w:r>
    </w:p>
    <w:p>
      <w:r>
        <w:rPr>
          <w:b/>
        </w:rPr>
        <w:t xml:space="preserve">Ergebnis: </w:t>
      </w:r>
      <w:r>
        <w:t>Win-Ratio 2,42 (95%-KI 1,76-3,33; p&lt;0,001) für primären kombiniert Endpunkt nach 1 Jahr. Freiheit von Tod oder Herzinsuffizienz-Hospitalisierung über 3 Jahre: 52,4% vs. 21,0% (Hazard Ratio 0,40; 95%-KI 0,29-0,55; p&lt;0,001). Schwere unerwünschte Ereignisse innerhalb 30 Tage in 5,9% der Interventionsgruppe. Praxisveränderndes Ergebnis mit harten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DZHK-finanziert, deutsches Patientenkollektiv, direkt übertragbar</w:t>
      </w:r>
    </w:p>
    <w:p>
      <w:r>
        <w:rPr>
          <w:color w:val="5A7D3A"/>
          <w:sz w:val="18"/>
        </w:rPr>
        <w:t>https://pubmed.ncbi.nlm.nih.gov/42670975/</w:t>
      </w:r>
    </w:p>
    <w:p>
      <w:pPr>
        <w:pStyle w:val="Heading2"/>
      </w:pPr>
      <w:r>
        <w:t>Zirkadianer Druck im Vorhof: Abendanstieg auch unter optimierter Diuretika-Therapie</w:t>
      </w:r>
    </w:p>
    <w:p>
      <w:r>
        <w:rPr>
          <w:i/>
          <w:color w:val="666666"/>
          <w:sz w:val="18"/>
        </w:rPr>
        <w:t>Amir Y et al.  ·  Eur J Heart Fail  ·  31.08.2026  ·  PMID 42670644</w:t>
      </w:r>
    </w:p>
    <w:p>
      <w:r>
        <w:t>Observationsstudie mit implantierbarem Drucksensor zu täglichen Schwankungen des linksatrialen Drucks bei ambulanten Herzinsuffizienz-Patienten über 25,5 Monate.</w:t>
      </w:r>
    </w:p>
    <w:p>
      <w:r>
        <w:rPr>
          <w:b/>
        </w:rPr>
        <w:t xml:space="preserve">Ergebnis: </w:t>
      </w:r>
      <w:r>
        <w:t>Über &gt;15.500 Messtage bei 73 Patienten: Medianer linksatrialer Druck abends 12,4 [6,8-18,3] mmHg vs. morgens 10,7 [5,5-17,3] mmHg (p&lt;0,01). Höhere Diuretika-Dosis oder Zweimal-Gabe modifizierte Rhythmus nicht (p=0,98 bzw. p=0,50). Patienten mit akuter Dekompensation zeigten höhere Drücke (14,3 [9,5-19,9] vs. 10,4 [5,4-17,3] mmHg; p&lt;0,01). LAP unabhängig mit erhöhtem Dekompensationsrisiko assoziiert (OR 1,40; 95%-KI 1,10-1,78;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Remote-Monitoring-Technologie, aber Zentren überregional; Dekompensationserkennung relevant für deutsches DMP</w:t>
      </w:r>
    </w:p>
    <w:p>
      <w:r>
        <w:rPr>
          <w:color w:val="5A7D3A"/>
          <w:sz w:val="18"/>
        </w:rPr>
        <w:t>https://pubmed.ncbi.nlm.nih.gov/42670644/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P2Y₁₂-Hemmer vor Angiografie: Weniger STEMI, aber auch weniger Blutungen bei längeren Wartezeiten</w:t>
      </w:r>
    </w:p>
    <w:p>
      <w:r>
        <w:rPr>
          <w:i/>
          <w:color w:val="666666"/>
          <w:sz w:val="18"/>
        </w:rPr>
        <w:t>Hesse K et al.  ·  Open Heart  ·  12.09.2026  ·  PMID 42731862</w:t>
      </w:r>
    </w:p>
    <w:p>
      <w:r>
        <w:t>Vergleich zweier Strategien bei NSTE-ACS: Routinemäßige Gabe eines P2Y₁₂-Hemmers vor Herzkatheter versus Zurückhaltung bis zur Anatomiekenntnis im britischen Versorgungssystem mit längeren Wartezeiten (Median 3,6 Tage).</w:t>
      </w:r>
    </w:p>
    <w:p>
      <w:r>
        <w:rPr>
          <w:b/>
        </w:rPr>
        <w:t xml:space="preserve">Ergebnis: </w:t>
      </w:r>
      <w:r>
        <w:t>Bei Verzicht auf Vorbehandlung: In-hospital-STEMI stieg von 0,4% auf 1,7% (adjustierte OR 4,40; 95%-KI 1,78–13,3), aber actionable Blutungsereignisse sanken von 0,9% auf 0,2% (adjustierte OR 0,18; 95%-KI 0,03–0,70). Längere Wartezeiten verändern das Nutzen-Risiko-Verhältnis gegenüber den Leitlinien, die auf kürzeren Katheterwartezeiten basieren.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 mit wesentlich längeren Wartezeiten als in Deutschland üblich.</w:t>
      </w:r>
    </w:p>
    <w:p>
      <w:r>
        <w:rPr>
          <w:color w:val="5A7D3A"/>
          <w:sz w:val="18"/>
        </w:rPr>
        <w:t>https://pubmed.ncbi.nlm.nih.gov/42731862/</w:t>
      </w:r>
    </w:p>
    <w:p>
      <w:pPr>
        <w:pStyle w:val="Heading2"/>
      </w:pPr>
      <w:r>
        <w:t>HFpEF-Risikoscores für Primärversorgung in HIV-Hochprävalenzregion anwendbar</w:t>
      </w:r>
    </w:p>
    <w:p>
      <w:r>
        <w:rPr>
          <w:i/>
          <w:color w:val="666666"/>
          <w:sz w:val="18"/>
        </w:rPr>
        <w:t>Honwana F et al.  ·  Open Heart  ·  12.09.2026  ·  PMID 42731860</w:t>
      </w:r>
    </w:p>
    <w:p>
      <w:r>
        <w:t>Entwicklung und interne Validierung eines nomogramm-basierten HFpEF-Vorhersage-Scores für die Primärversorgung in Südafrika unter Berücksichtigung HIV-Status, klinischer Faktoren, BNP und EKG.</w:t>
      </w:r>
    </w:p>
    <w:p>
      <w:r>
        <w:rPr>
          <w:b/>
        </w:rPr>
        <w:t xml:space="preserve">Ergebnis: </w:t>
      </w:r>
      <w:r>
        <w:t>Nomogramm mit Alter, Geschlecht, HIV-Status, Rauchen, Hypertonie, BMI und BNP: Overfitting-korrigierte AUC 0,77 mit guter Kalibrierung. Von 1.508 Teilnehmern (77% Frauen, 42% adipös) erfüllten 7,8% HFpEF-Kriterien (118 Patienten; 8,4% bei HIV-positiv, 6,6% HIV-negativ).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Südafrika; Score als praktisches Werkzeug für ressourcenlimitierte Primärsettings adaptierbar.</w:t>
      </w:r>
    </w:p>
    <w:p>
      <w:r>
        <w:rPr>
          <w:color w:val="5A7D3A"/>
          <w:sz w:val="18"/>
        </w:rPr>
        <w:t>https://pubmed.ncbi.nlm.nih.gov/42731860/</w:t>
      </w:r>
    </w:p>
    <w:p>
      <w:pPr>
        <w:pStyle w:val="Heading2"/>
      </w:pPr>
      <w:r>
        <w:t>Ultraschnelle ambulante TAVI bei akutem aortalen Klappensyndrom spart Krankenhausbetten</w:t>
      </w:r>
    </w:p>
    <w:p>
      <w:r>
        <w:rPr>
          <w:i/>
          <w:color w:val="666666"/>
          <w:sz w:val="18"/>
        </w:rPr>
        <w:t>Vibhishanan J et al.  ·  Open Heart  ·  12.09.2026  ·  PMID 42731859</w:t>
      </w:r>
    </w:p>
    <w:p>
      <w:r>
        <w:t>Evaluierung eines neuen Versorgungspfads für ausgewählte, stabilisierte Patienten mit akutem aortalen Stenose-Syndroms (AVS) und geplantem TAVI-Einsatz: ambulante Vorbereitung mit Entlassung nach initialem Assessment vs. stationärer Weg in einer britischen Universitätsklinik.</w:t>
      </w:r>
    </w:p>
    <w:p>
      <w:r>
        <w:rPr>
          <w:b/>
        </w:rPr>
        <w:t xml:space="preserve">Ergebnis: </w:t>
      </w:r>
      <w:r>
        <w:t>Von 105 für den ambulanten Weg evaluierten Patienten wurden 58 (55,2%) ambulant und 47 (44,8%) stationär behandelt. Ambulante Gruppe: mediane Gesamtkrankenhaus-Liegedauer 12 Tage (IQR 7–17) vs. stationär 20 Tage (IQR 15–32; p&lt;0,0001), Einsparung von 210 Bettentagen. Zeit von Zuweisung bis TAVI unterschied sich nicht (ambulant 15 vs. stationär 14 Tage; p=0,22). Primärer Sicherheitsendpunkt (Tod oder akute Dekompensation vor TAVI) war gleich (ambulant 6,9% vs. stationär 6,4%; HR 0,97; 95%-KI 0,22–4,34; p=0,97).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UK-Klinik; Konzept auf vergleichbare europäische Zentren übertragbar, bedarf Validierung.</w:t>
      </w:r>
    </w:p>
    <w:p>
      <w:r>
        <w:rPr>
          <w:color w:val="5A7D3A"/>
          <w:sz w:val="18"/>
        </w:rPr>
        <w:t>https://pubmed.ncbi.nlm.nih.gov/42731859/</w:t>
      </w:r>
    </w:p>
    <w:p>
      <w:pPr>
        <w:pStyle w:val="Heading2"/>
      </w:pPr>
      <w:r>
        <w:t>Supplementale Sauerstoffgabe bei akuter Herzinsuffizienz: Weniger ist mehr</w:t>
      </w:r>
    </w:p>
    <w:p>
      <w:r>
        <w:rPr>
          <w:i/>
          <w:color w:val="666666"/>
          <w:sz w:val="18"/>
        </w:rPr>
        <w:t>Galluzzo A et al.  ·  Eur Heart J Acute Cardiovasc Care  ·  08.09.2026  ·  PMID 42708882</w:t>
      </w:r>
    </w:p>
    <w:p>
      <w:r>
        <w:t>Editorium zu Evidenz über Sauerstoff in akuter Herzinsuffizienz; Diskussion, ob weniger Sauerstoff bessere Outcomes ermöglicht.</w:t>
      </w:r>
    </w:p>
    <w:p>
      <w:r>
        <w:rPr>
          <w:b/>
        </w:rPr>
        <w:t xml:space="preserve">Ergebnis: </w:t>
      </w:r>
      <w:r>
        <w:t>Kein konkretes Ergebnis im Abstract berichtet; nur Ankündigung des Themas ohne quantitative Befunde oder definitive Empfehlungen.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Erfüllt Auswahlkriterium nicht; kein benennbares Ergebnis.</w:t>
      </w:r>
    </w:p>
    <w:p>
      <w:r>
        <w:rPr>
          <w:color w:val="5A7D3A"/>
          <w:sz w:val="18"/>
        </w:rPr>
        <w:t>https://pubmed.ncbi.nlm.nih.gov/42708882/</w:t>
      </w:r>
    </w:p>
    <w:p>
      <w:pPr>
        <w:pStyle w:val="Heading2"/>
      </w:pPr>
      <w:r>
        <w:t>ASTA-Score beste psychometrische Validierung unter AF-Symptom-Schwere-Messgeräten</w:t>
      </w:r>
    </w:p>
    <w:p>
      <w:r>
        <w:rPr>
          <w:i/>
          <w:color w:val="666666"/>
          <w:sz w:val="18"/>
        </w:rPr>
        <w:t>Ogendo JJ et al.  ·  Europace  ·  08.09.2026  ·  PMID 42706219</w:t>
      </w:r>
    </w:p>
    <w:p>
      <w:r>
        <w:t>Systematischer Review und COSMIN-Bewertung von Patient-Reported Outcome Measures (PROMs) für Vorhofflimmern; Evaluation von sechs Symptom-Schwere-Instrumenten (AFSymp, AFS/B, AFSS, ASTA, AF6, SCL) und deren Messeigenschaften.</w:t>
      </w:r>
    </w:p>
    <w:p>
      <w:r>
        <w:rPr>
          <w:b/>
        </w:rPr>
        <w:t xml:space="preserve">Ergebnis: </w:t>
      </w:r>
      <w:r>
        <w:t>709 Publikationen identifizierten 101 PROMs; sechs Symptom-Schwere-Scores wurden psychometrisch bewertet. ASTA zeigte die meiste Validierungseviden und größte Sicherheit bei Inhaltsvalidität sowie interne Konsistenz. COSMIN-Bewertungen enthüllten kritische Lücken in Responsiveness und kulturübergreifender Validität. Empfehlung: COSMIN-konforme Validierung aller PROMs vor Routineintegration in AF-Versorgung.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Europa; Systematik übertragbar auf deutsches Setting für Versorgungsqualität und Patient-Reported Outcomes.</w:t>
      </w:r>
    </w:p>
    <w:p>
      <w:r>
        <w:rPr>
          <w:color w:val="5A7D3A"/>
          <w:sz w:val="18"/>
        </w:rPr>
        <w:t>https://pubmed.ncbi.nlm.nih.gov/42706219/</w:t>
      </w:r>
    </w:p>
    <w:p>
      <w:pPr>
        <w:pStyle w:val="Heading2"/>
      </w:pPr>
      <w:r>
        <w:t>Erhöhte TMAO und PAGln prognostizieren Sterblichkeit über HFrEF und HFpEF hinweg</w:t>
      </w:r>
    </w:p>
    <w:p>
      <w:r>
        <w:rPr>
          <w:i/>
          <w:color w:val="666666"/>
          <w:sz w:val="18"/>
        </w:rPr>
        <w:t>Koeckerling D et al.  ·  Eur J Heart Fail  ·  01.09.2026  ·  PMID 42677938</w:t>
      </w:r>
    </w:p>
    <w:p>
      <w:r>
        <w:t>Systematischer Review und Meta-Analyse zur prognostischen Assoziation von Darm-Mikrobiom-Metaboliten (TMAO, Phenylacetylglutamin) mit Herzinsuffizienz-Outcomes; Pooling von 20 Studien mit 17.715 Patienten.</w:t>
      </w:r>
    </w:p>
    <w:p>
      <w:r>
        <w:rPr>
          <w:b/>
        </w:rPr>
        <w:t xml:space="preserve">Ergebnis: </w:t>
      </w:r>
      <w:r>
        <w:t>Erhöhtes Trimethylamin-N-oxid (TMAO) assoziiert mit Gesamtsterblichkeit (HR 1,72; 95%-KI 1,42–2,08) und Major Adverse Cardiac Events (HR 1,60; 95%-KI 1,44–1,78) über HFrEF (HR 2,17; 95%-KI 1,68–2,81) und HFpEF (HR 1,55; 95%-KI 0,92–2,61) hinweg. Erhöhtes Phenylacetylglutamin (PAGln) ebenfalls mit Mortalität (HR 1,60; 95%-KI 1,33–1,94) und MACE (HR 1,65; 95%-KI 1,37–1,99) assoziiert. Unterschiede durch Alter, NT-proBNP, Nierenfunktion oder BMI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Meta-Analyse europäischer und internationaler Kohorten; Biomarker auf Routinetauglichkeit zu prüfen.</w:t>
      </w:r>
    </w:p>
    <w:p>
      <w:r>
        <w:rPr>
          <w:color w:val="5A7D3A"/>
          <w:sz w:val="18"/>
        </w:rPr>
        <w:t>https://pubmed.ncbi.nlm.nih.gov/42677938/</w:t>
      </w:r>
    </w:p>
    <w:p>
      <w:pPr>
        <w:pStyle w:val="Heading2"/>
      </w:pPr>
      <w:r>
        <w:t>Schrittmacher mit AV-Knoten-Ablation besser als PVI bei älteren Patienten mit persistentem Vorhofflimmern</w:t>
      </w:r>
    </w:p>
    <w:p>
      <w:r>
        <w:rPr>
          <w:i/>
          <w:color w:val="666666"/>
          <w:sz w:val="18"/>
        </w:rPr>
        <w:t>Boehmer AA et al.  ·  Eur Heart J  ·  31.08.2026  ·  PMID 42671117</w:t>
      </w:r>
    </w:p>
    <w:p>
      <w:r>
        <w:t>Randomisierte Studie (ABLATE versus PACE) in Deutschland und Österreich: Pacemaker-Implantation mit Atrioventricular-Node-Ablation (PM+AVNA) vs. Pulmonalvenenisolation (PVI) bei älteren Patienten (≥75 Jahre) mit symptomatischem persistentem Vorhofflimmern.</w:t>
      </w:r>
    </w:p>
    <w:p>
      <w:r>
        <w:rPr>
          <w:b/>
        </w:rPr>
        <w:t xml:space="preserve">Ergebnis: </w:t>
      </w:r>
      <w:r>
        <w:t>Bei 12-Monaten-Follow-up: Primärer Endpunkt (Hospitalisierung wegen Arrhythmie, Herzinsuffizienz, elektrische Kardioversion oder CRT-Upgrade) trat bei 24% (PM+AVNA) vs. 46% (PVI) auf (Hazard Ratio 0,45; 95%-KI 0,27–0,74; p=0,002). PM+AVNA zeigte weniger AF-Hospitalisierungen und Kardioversionen, aber mehr HF-Hospitalisierungen. Mortalität und Lebensqualität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und österreichisches Gesundheitssystem, direkt übertragbar auf Altersstruktur und Leitlinien.</w:t>
      </w:r>
    </w:p>
    <w:p>
      <w:r>
        <w:rPr>
          <w:color w:val="5A7D3A"/>
          <w:sz w:val="18"/>
        </w:rPr>
        <w:t>https://pubmed.ncbi.nlm.nih.gov/42671117/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 xml:space="preserve"> Adipositas und myeloide Inflammation verschlechtern Überleben nach Myokardinfarkt durch TREM1</w:t>
      </w:r>
    </w:p>
    <w:p>
      <w:r>
        <w:rPr>
          <w:i/>
          <w:color w:val="666666"/>
          <w:sz w:val="18"/>
        </w:rPr>
        <w:t xml:space="preserve"> Basic Res Cardiol  ·   2026  ·  PMID  42726202</w:t>
      </w:r>
    </w:p>
    <w:p>
      <w:r>
        <w:t xml:space="preserve"> Experimentelle Studie in Mäusen mit Hochfett-Diät-induzierter Adipositas untersuchte den Einfluss auf Myokardinfarkt-bedingte Entzündung, ventrikuläre Funktion und Überleben mit Fokus auf das myeloide Protein TREM1.</w:t>
      </w:r>
    </w:p>
    <w:p>
      <w:r>
        <w:rPr>
          <w:b/>
        </w:rPr>
        <w:t xml:space="preserve">Ergebnis: </w:t>
      </w:r>
      <w:r>
        <w:t xml:space="preserve"> Obese Mäuse zeigten gegenüber schlanken Mäusen erhöhte Myelopoiese in der Milz, höhere Leukozytenzahlen, erhöhte myokardiale Granulozyt-, Monozyten- und pro-inflammatorische Makrophagenzahlen sowie erhöhte TREM1-Expression am Myokard. Das Überleben 56 Tage nach Myokardinfarkt betrug 58% bei obesen versus 87% bei schlanken Mäusen. TREM1-Blockade führte zu signifikant besserer Erhaltung der systolischen Funktion bei obesen Mäusen. Erkenntnisse deuten auf einen Mechanismus, wie Adipositas über Myelopoiese und TREM1-Aktivierung das Post-Infarkt-Überleben verschlechtert und mögliche therapeutische Ziele bei adipösen Patienten mit Myokardinfarkt aufzeigt.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Deutsches Zentrum, Grundlagenerkenntnis für adipöse Patientengruppe.</w:t>
      </w:r>
    </w:p>
    <w:p>
      <w:r>
        <w:rPr>
          <w:color w:val="5A7D3A"/>
          <w:sz w:val="18"/>
        </w:rPr>
        <w:t>https://pubmed.ncbi.nlm.nih.gov/ 42726202/</w:t>
      </w:r>
    </w:p>
    <w:p>
      <w:pPr>
        <w:pStyle w:val="Heading2"/>
      </w:pPr>
      <w:r>
        <w:t xml:space="preserve"> Künstliche Intelligenz und Herzmuskel-Phänotypen vorhersagen Myokardinfarkt-Risiko in der Langzeitbeobachtung</w:t>
      </w:r>
    </w:p>
    <w:p>
      <w:r>
        <w:rPr>
          <w:i/>
          <w:color w:val="666666"/>
          <w:sz w:val="18"/>
        </w:rPr>
        <w:t xml:space="preserve"> Eur Heart J Cardiovasc Imaging  ·   2026  ·  PMID  42721291</w:t>
      </w:r>
    </w:p>
    <w:p>
      <w:r>
        <w:t xml:space="preserve"> Post-hoc-Analyse der SCOT-HEART-Studie mit 1.736 Teilnehmern untersuchte, ob radiomische Phänotypen aus Herz-CTA das Langzeit-Risiko für Herzinfarkt (Median 8,6 Jahre Follow-up) vorhersagen über konventionelle Risikofaktoren hinaus.</w:t>
      </w:r>
    </w:p>
    <w:p>
      <w:r>
        <w:rPr>
          <w:b/>
        </w:rPr>
        <w:t xml:space="preserve">Ergebnis: </w:t>
      </w:r>
      <w:r>
        <w:t xml:space="preserve"> 82 von 1.736 Teilnehmern (4,7%) erlebten während Follow-up tödlichen oder nicht-tödlichen Myokardinfarkt. Radiomische Phänotypen waren assoziiert mit Alter, Geschlecht, Hypertension und Diabetes (p&lt;0,01). Integration radiomischer Merkmale in klinisches Modell verbesserte Diskrimination für zukünftige Myokardinfarkte (C-Index von 0,693 auf 0,722, Δ=0,029, p&lt;0,001) und Modell-Fit (Likelihood-Ratio-Test χ²=13,5, p=0,009).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Schottische Studie, vergleichbare europäische Gesundheitssysteme.</w:t>
      </w:r>
    </w:p>
    <w:p>
      <w:r>
        <w:rPr>
          <w:color w:val="5A7D3A"/>
          <w:sz w:val="18"/>
        </w:rPr>
        <w:t>https://pubmed.ncbi.nlm.nih.gov/ 42721291/</w:t>
      </w:r>
    </w:p>
    <w:p>
      <w:pPr>
        <w:pStyle w:val="Heading2"/>
      </w:pPr>
      <w:r>
        <w:t xml:space="preserve"> LMNA-Genotyp und Vorhofflimmern-Risiko in genetischer Kardiomyopathie</w:t>
      </w:r>
    </w:p>
    <w:p>
      <w:r>
        <w:rPr>
          <w:i/>
          <w:color w:val="666666"/>
          <w:sz w:val="18"/>
        </w:rPr>
        <w:t xml:space="preserve"> Circ Heart Fail  ·   2026  ·  PMID  42717878</w:t>
      </w:r>
    </w:p>
    <w:p>
      <w:r>
        <w:t xml:space="preserve"> Beobachtungsstudie von 3.117 Patienten mit genetischer dilatativer Kardiomyopathie (DCM) aus der SHaRe-Registry untersuchte Prävalenz, Inzidenz und Prognosebedeutung von Vorhofflimmern nach Genotyp.</w:t>
      </w:r>
    </w:p>
    <w:p>
      <w:r>
        <w:rPr>
          <w:b/>
        </w:rPr>
        <w:t xml:space="preserve">Ergebnis: </w:t>
      </w:r>
      <w:r>
        <w:t xml:space="preserve"> Von 2.491 AF-freien Patienten mit Follow-up entwickelten 312 (12,5%) während eines Medians von 4,5 Jahren Vorhofflimmern. Kumulative AF-Prävalenz betrug 23,6%. LMNA zeigte die höchste AF-Inzidenz (7,6 pro 100 Patientenjahre) und kumulative AF-Prävalenz (56,7%) und war die einzige Genotyp-Variable unabhängig assoziiert mit inzidentem AF (HR 5,52, 95% KI 3,84-7,95; p&lt;0,001). TTN hatte AF-Inzidenz von 2,1 pro 100 Patientenjahre. AF war unabhängig assoziiert mit erhöhtem Risiko für kombiniertes Endpunkt (HR 1,58, 95% KI 1,29-1,94; p&lt;0,001) einschließlich Herzinsuffizienz, ventrikuläre Arrhythmien und Gesamtsterblichkeit.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Internationale Studie mit niederländischen/europäischen Zentren, vergleichbar mit deutschen Versorgungssystemen.</w:t>
      </w:r>
    </w:p>
    <w:p>
      <w:r>
        <w:rPr>
          <w:color w:val="5A7D3A"/>
          <w:sz w:val="18"/>
        </w:rPr>
        <w:t>https://pubmed.ncbi.nlm.nih.gov/ 42717878/</w:t>
      </w:r>
    </w:p>
    <w:p>
      <w:pPr>
        <w:pStyle w:val="Heading2"/>
      </w:pPr>
      <w:r>
        <w:t xml:space="preserve"> Darmbakterien-Metabolite vorhersagen Sterblichkeit und kardiale Ereignisse bei Herzinsuffizienz</w:t>
      </w:r>
    </w:p>
    <w:p>
      <w:r>
        <w:rPr>
          <w:i/>
          <w:color w:val="666666"/>
          <w:sz w:val="18"/>
        </w:rPr>
        <w:t xml:space="preserve"> Eur J Heart Fail  ·   2026  ·  PMID  42677938</w:t>
      </w:r>
    </w:p>
    <w:p>
      <w:r>
        <w:t xml:space="preserve"> Systematische Übersicht und Metaanalyse von 26 Studien mit 17.715 Patienten (davon 20 in Metaanalyse) untersuchte assoziationen zwischen Darm-Mikrobiom-Metaboliten und Herzinsuffizienz-Outcomes.</w:t>
      </w:r>
    </w:p>
    <w:p>
      <w:r>
        <w:rPr>
          <w:b/>
        </w:rPr>
        <w:t xml:space="preserve">Ergebnis: </w:t>
      </w:r>
      <w:r>
        <w:t xml:space="preserve"> Erhöhtes Trimethylamin-N-Oxid (TMAO) war assoziiert mit Gesamtsterblichkeit (HR 1,72, 95% KI 1,42-2,08, p=0,0002) und MACE (HR 1,60, 95% KI 1,44-1,78, p&lt;0,0001). Der Effekt war konsistent über HFrEF (HR 2,17) und HFpEF (HR 1,55). Erhöhtes Phenylacetylglutamin war assoziiert mit Mortalität (HR 1,60, 95% KI 1,33-1,94) und MACE (HR 1,65, 95% KI 1,37-1,99). Meta-Regression zeigte keine signifikante Effektmodifizierung durch Alter, NT-proBNP, Nierenfunktion oder BMI.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Deutschland und England - europäische Versorgungssysteme, deutsche Forschungsbeteiligung.</w:t>
      </w:r>
    </w:p>
    <w:p>
      <w:r>
        <w:rPr>
          <w:color w:val="5A7D3A"/>
          <w:sz w:val="18"/>
        </w:rPr>
        <w:t>https://pubmed.ncbi.nlm.nih.gov/ 42677938/</w:t>
      </w:r>
    </w:p>
    <w:p>
      <w:pPr>
        <w:pStyle w:val="Heading2"/>
      </w:pPr>
      <w:r>
        <w:t xml:space="preserve"> PM und AV-Knoten-Ablation besser als PV-Isolationbei älteren Patienten mit Vorhofflimmern</w:t>
      </w:r>
    </w:p>
    <w:p>
      <w:r>
        <w:rPr>
          <w:i/>
          <w:color w:val="666666"/>
          <w:sz w:val="18"/>
        </w:rPr>
        <w:t xml:space="preserve"> Eur Heart J  ·   2026  ·  PMID  42671117</w:t>
      </w:r>
    </w:p>
    <w:p>
      <w:r>
        <w:t xml:space="preserve"> Randomisierte Studie bei älteren Patienten (≥75 Jahre) mit persistierendem Vorhofflimmern und normaler Ejektionsfraktion verglich Schrittmacher-Implantation mit AV-Knoten-Ablation (PM+AVNA) gegen Pulmonalvenen-Isolat ion (PVI) nach 12 Monaten Versorgung.</w:t>
      </w:r>
    </w:p>
    <w:p>
      <w:r>
        <w:rPr>
          <w:b/>
        </w:rPr>
        <w:t xml:space="preserve">Ergebnis: </w:t>
      </w:r>
      <w:r>
        <w:t xml:space="preserve"> Bei 24% der PM+AVNA- und 46% der PVI-Patienten trat das primäre Endpunkt auf (Krankenhauseinweisung wegen Arrhythmie, Herzinsuffizienz, Kardioversion oder CRT-Upgrade; HR 0,45, 95% KI 0,27-0,74; p=0,002). Der Unterschied beruht vor allem auf 54 Arrhythmie-Hospitalisationen und 19 Kardioversionen in der PVI-Gruppe gegen 3 und 1 in der PM+AVNA-Gruppe; in der PM+AVNA-Gruppe gab es 23 Herzinsuffizienz-Hospitalisationen gegen 11 in der PVI-Gruppe. Mortalität, Schlaganfall, Komplikationen und Lebensqualität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 Zentren führten diese Studie durch, deutsche Leitlinien können angepasst werden.</w:t>
      </w:r>
    </w:p>
    <w:p>
      <w:r>
        <w:rPr>
          <w:color w:val="5A7D3A"/>
          <w:sz w:val="18"/>
        </w:rPr>
        <w:t>https://pubmed.ncbi.nlm.nih.gov/ 42671117/</w:t>
      </w:r>
    </w:p>
    <w:p>
      <w:pPr>
        <w:pStyle w:val="Heading2"/>
      </w:pPr>
      <w:r>
        <w:t xml:space="preserve"> Trikuspidaliregurgitations-Schwellwerte für Mortalität bei ATTR-Kardiomyopathie</w:t>
      </w:r>
    </w:p>
    <w:p>
      <w:r>
        <w:rPr>
          <w:i/>
          <w:color w:val="666666"/>
          <w:sz w:val="18"/>
        </w:rPr>
        <w:t xml:space="preserve"> JAMA Cardiol  ·   2026  ·  PMID  42671012</w:t>
      </w:r>
    </w:p>
    <w:p>
      <w:r>
        <w:t xml:space="preserve"> Multizentrische Kohortenstudie an 1.124 Patienten mit neu diagnostizierter ATTR-Kardiomyopathie (Derivation n=745, Validierung n=379) untersuchte echokardiographische Parameter der Trikuspidaliregurgitation für Prognose von Gesamtsterblichkeit und Herzinsuffizienz-Hospitalisierung.</w:t>
      </w:r>
    </w:p>
    <w:p>
      <w:r>
        <w:rPr>
          <w:b/>
        </w:rPr>
        <w:t xml:space="preserve">Ergebnis: </w:t>
      </w:r>
      <w:r>
        <w:t xml:space="preserve"> Über einen Median von 25,2 Monaten starben 324 Patienten (28,8%) und 251 (22,3%) wurden wegen Herzinsuffizienz hospitalisiert. Der Vorschlag für Trikuspidaliregurgitation-Schwellwerte (Vena-contracta ≥5 mm, EROA ≥0,25 cm²; Regurgitationsvolumen ≥20 mL) klassifizierte 334 von 1.124 Patienten (29,7%) als hohes oder extremes Risiko, während Standard-Definitionen nur 130 (11,6%) als schwer einstuften. Dieses Modell zeigte bessere Vorhersage von Mortalität (HR 1,41, 95% KI 1,23-1,62) und HF-Hospitalisierungen (HR 1,31, 95% KI 1,12-1,54) als Leitlinien-Definitionen.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Österreich, Deutschland, Niederlande, Italien - vergleichbare Versorgungssysteme.</w:t>
      </w:r>
    </w:p>
    <w:p>
      <w:r>
        <w:rPr>
          <w:color w:val="5A7D3A"/>
          <w:sz w:val="18"/>
        </w:rPr>
        <w:t>https://pubmed.ncbi.nlm.nih.gov/ 42671012/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Nur Vorhofflimmern ist nach STEMI mit reduzierter EF unabhängig mit erhöhter Mortalität assoziiert; Kammertachykardien sind seltener als erwartet</w:t>
      </w:r>
    </w:p>
    <w:p>
      <w:r>
        <w:rPr>
          <w:i/>
          <w:color w:val="666666"/>
          <w:sz w:val="18"/>
        </w:rPr>
        <w:t>Jiménez-Candil J et al.  ·  JACC Clin Electrophysiol  ·  26.08.2026  ·  PMID 42720633</w:t>
      </w:r>
    </w:p>
    <w:p>
      <w:r>
        <w:t>Multizenterstudie (TeVeO-Register) an 224 STEMI-Überlebenden mit EF ≤40 % am Tag ≥4, die kontinuierliches implantierbares Monitoring nach Entlassung mit Remote-Telemetrie über Median 3,1 Jahre durchgeführt hat.</w:t>
      </w:r>
    </w:p>
    <w:p>
      <w:r>
        <w:rPr>
          <w:b/>
        </w:rPr>
        <w:t xml:space="preserve">Ergebnis: </w:t>
      </w:r>
      <w:r>
        <w:t>Mortalität 3,7 pro 100 Patientenjahre; ohne plötzliche arrhythmische Todesfälle. Bei 6 Monaten ICD bei 25 (11 %) implantiert. Während Follow-up 119 (53 %) ≥1 ambulante Arrhythmie: 39 (17 %) Vorhofflimmern, 35 (16 %) NSVT, 33 (15 %) Pausen &gt;3 sec, 5 (2,2 %) nachgewiesene VT/ICD-Therapie. Nur Vorhofflimmern unabhängig mit erhöhter Mortalität assoziiert (adj. HR=2,5; p=0,04). NSVT-Inzidenz 5,4/100 PY, VT/ICD-Therapie 0,9/100 PY.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 mit etabliertem Register; Real-World-Evidenz zum Post-STEMI-Arrhythmie-Phänotyp.</w:t>
      </w:r>
    </w:p>
    <w:p>
      <w:r>
        <w:rPr>
          <w:color w:val="5A7D3A"/>
          <w:sz w:val="18"/>
        </w:rPr>
        <w:t>https://pubmed.ncbi.nlm.nih.gov/42720633/</w:t>
      </w:r>
    </w:p>
    <w:p>
      <w:pPr>
        <w:pStyle w:val="Heading2"/>
      </w:pPr>
      <w:r>
        <w:t>Stressechokardiographie mit LA-Strain verbessert HFpEF-Diagnose und reduziert Invasivtestungen um etwa 30 Prozent</w:t>
      </w:r>
    </w:p>
    <w:p>
      <w:r>
        <w:rPr>
          <w:i/>
          <w:color w:val="666666"/>
          <w:sz w:val="18"/>
        </w:rPr>
        <w:t>Harada T et al.  ·  Eur Heart J  ·  10.09.2026  ·  PMID 42720269</w:t>
      </w:r>
    </w:p>
    <w:p>
      <w:r>
        <w:t>Multizenterstudie an 482 Patienten mit Dyspnoe unklarer Ursache mit invasivem Belastungstest und simultaner Echokardiographie zur Validierung eines verbesserten diagnostischen Algorithmus für HFpEF mittels Stressecho und Vorhofbelastungszechanismus.</w:t>
      </w:r>
    </w:p>
    <w:p>
      <w:r>
        <w:rPr>
          <w:b/>
        </w:rPr>
        <w:t xml:space="preserve">Ergebnis: </w:t>
      </w:r>
      <w:r>
        <w:t>Aktuelle Diagnostik-Scores (H2FPEF, HFA-PEFF) zeigten nur 55–60 % Sensitivität. Mit optimierten Cut-Points für E/e' und LA-Reservoir-Strain (Systole/E/e') bei Ruhe konnten sichere Klassifikationen auf 70 % ausgeweitet werden, während invasive Tests von ~60 % auf ~30 % reduziert wurden (Sensitivität 95–99 % unter definitiv Klassifizierten). Befunde in internationalem Validierungskohorte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internationalem Validierungskohorte; Verfahrensoptimierung übertragbar auf Chest-Pain-Units in Deutschland.</w:t>
      </w:r>
    </w:p>
    <w:p>
      <w:r>
        <w:rPr>
          <w:color w:val="5A7D3A"/>
          <w:sz w:val="18"/>
        </w:rPr>
        <w:t>https://pubmed.ncbi.nlm.nih.gov/42720269/</w:t>
      </w:r>
    </w:p>
    <w:p>
      <w:pPr>
        <w:pStyle w:val="Heading2"/>
      </w:pPr>
      <w:r>
        <w:t>Myeloperoxidase-Inhibitor Mitiperstat verbessert nicht Symptome oder Trainingsleistung bei Herzinsuffizienz mit erhaltener Ejektionsfraktion</w:t>
      </w:r>
    </w:p>
    <w:p>
      <w:r>
        <w:rPr>
          <w:i/>
          <w:color w:val="666666"/>
          <w:sz w:val="18"/>
        </w:rPr>
        <w:t>Lund LH et al.  ·  Nat Med  ·  09.09.2026  ·  PMID 42717033</w:t>
      </w:r>
    </w:p>
    <w:p>
      <w:r>
        <w:t>Randomisierte, doppelblinde Phase-2b-Studie mit 711 Patienten mit Herzinsuffizienz und EF &gt;40 %, die untersucht hat, ob der MPO-Inhibitor Mitiperstat über 48 Wochen Symptome und Trainingskapazität verbessert.</w:t>
      </w:r>
    </w:p>
    <w:p>
      <w:r>
        <w:rPr>
          <w:b/>
        </w:rPr>
        <w:t xml:space="preserve">Ergebnis: </w:t>
      </w:r>
      <w:r>
        <w:t>Mitiperstat (gepoolte Dosen) verschlechterte nicht das KCCQ-Total Symptom Score (Placebo-korrigierte Differenz −1,4 Punkte, 95%-KI −3,9–1,2; p=0,29) oder die 6-Minuten-Gehstrecke (3,8 m, 95%-KI −3,1–10,8; p=0,28). Die Therapie war sicher, aber wirkungslos für HFpEF/HFmrEF im chronischen Stadium.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europäische und globale Studie; negative Ergebnisse für Leitlinienentscheidungen relevant.</w:t>
      </w:r>
    </w:p>
    <w:p>
      <w:r>
        <w:rPr>
          <w:color w:val="5A7D3A"/>
          <w:sz w:val="18"/>
        </w:rPr>
        <w:t>https://pubmed.ncbi.nlm.nih.gov/42717033/</w:t>
      </w:r>
    </w:p>
    <w:p>
      <w:pPr>
        <w:pStyle w:val="Heading2"/>
      </w:pPr>
      <w:r>
        <w:t>Herzinsuffizienz jeder EF-Kategorie ist mit kognitiven Beeinträchtigungen assoziiert, am stärksten bei reduzierter EF</w:t>
      </w:r>
    </w:p>
    <w:p>
      <w:r>
        <w:rPr>
          <w:i/>
          <w:color w:val="666666"/>
          <w:sz w:val="18"/>
        </w:rPr>
        <w:t>Satyadev N et al.  ·  J Am Heart Assoc  ·  09.09.2026  ·  PMID 42714589</w:t>
      </w:r>
    </w:p>
    <w:p>
      <w:r>
        <w:t>Querschnittstudie von 1.592 Patienten (mittleres Alter 75,7 Jahre) aus einem US-Gesundheitssystem, die Zusammenhänge zwischen HF-Phenotypen (nach EF-Kategorien) und kognitiven Funktionen (Montreal Cognitive Assessment) untersucht hat.</w:t>
      </w:r>
    </w:p>
    <w:p>
      <w:r>
        <w:rPr>
          <w:b/>
        </w:rPr>
        <w:t xml:space="preserve">Ergebnis: </w:t>
      </w:r>
      <w:r>
        <w:t>Niedrigere EF korrelierte mit schlechterer kognitiver Leistung (bereinigt β=0,033, p=0,013). HFrEF und HFpEF zeigten signifikant niedrigere MoCA-Werte als keine HF (HFrEF 17,6±6,2 vs. keine HF 19,9±6,0, p&lt;0,001). Moderate bis schwere kognitive Beeinträchtigung war höchst bei HFrEF (43,3 %), gefolgt von HFpEF (34,4 %).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Sekundärbefund zum kognitiven Risiko bei HF relevant für deutsche Versorgungsplanung und Geriatrie.</w:t>
      </w:r>
    </w:p>
    <w:p>
      <w:r>
        <w:rPr>
          <w:color w:val="5A7D3A"/>
          <w:sz w:val="18"/>
        </w:rPr>
        <w:t>https://pubmed.ncbi.nlm.nih.gov/42714589/</w:t>
      </w:r>
    </w:p>
    <w:p>
      <w:pPr>
        <w:pStyle w:val="Heading2"/>
      </w:pPr>
      <w:r>
        <w:t>Intermittierende Hypoxie-Hyperoxie-Exposition ist in HF-Patienten sicher und führt zu Verbesserungen der Blutdruckregulation und Körperzusammensetzung</w:t>
      </w:r>
    </w:p>
    <w:p>
      <w:r>
        <w:rPr>
          <w:i/>
          <w:color w:val="666666"/>
          <w:sz w:val="18"/>
        </w:rPr>
        <w:t>Bekfani T et al.  ·  ESC Heart Fail  ·  04.09.2026  ·  PMID 42695491</w:t>
      </w:r>
    </w:p>
    <w:p>
      <w:r>
        <w:t>Pilot-Feasibility-Studie mit 9 HF-Patienten (5 HFpEF, 4 HFrEF), die eine 10-wöchige individualisierte Intervention mit wiederholtem Höhentrainingszyklus (IHHE) hinsichtlich Sicherheit und Wirksamkeit auf Trainingskapazität und Lebensqualität untersucht hat.</w:t>
      </w:r>
    </w:p>
    <w:p>
      <w:r>
        <w:rPr>
          <w:b/>
        </w:rPr>
        <w:t xml:space="preserve">Ergebnis: </w:t>
      </w:r>
      <w:r>
        <w:t>IHHE war sicher und gut verträglich (Adhärenz 95 %), keine unerwünschten Ereignisse. Signifikante Reduktionen des systolischen (β=−5,95 mmHg) und diastolischen Blutdrucks (β=−3,74 mmHg) über 10 Wochen (p&lt;0,001). Fettmassenindex sank (9,32 vs. 8,92 kg/m², p=0,031), viszerales Fett sank (127,6 vs. 121,9 cm², p=0,005), numerische Trends zu besserem Peak VO₂ (+300 mL/min) und 6MWT (+22 m), keine QoL-Verbesserung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Universitätsklinik Magdeburg mit europäischen Zentren; Machbarkeitsstudie für RCT-Vorbereitung.</w:t>
      </w:r>
    </w:p>
    <w:p>
      <w:r>
        <w:rPr>
          <w:color w:val="5A7D3A"/>
          <w:sz w:val="18"/>
        </w:rPr>
        <w:t>https://pubmed.ncbi.nlm.nih.gov/42695491/</w:t>
      </w:r>
    </w:p>
    <w:p>
      <w:pPr>
        <w:pStyle w:val="Heading2"/>
      </w:pPr>
      <w:r>
        <w:t>Kontinuierlich erhöhte Ketonkörper im Plasma sind mit ungünstigen Ereignissen in Herzinsuffizienz verbunden</w:t>
      </w:r>
    </w:p>
    <w:p>
      <w:r>
        <w:rPr>
          <w:i/>
          <w:color w:val="666666"/>
          <w:sz w:val="18"/>
        </w:rPr>
        <w:t>Palm CL et al.  ·  Clin Res Cardiol  ·  31.08.2026  ·  PMID 42671454</w:t>
      </w:r>
    </w:p>
    <w:p>
      <w:r>
        <w:t>Prospektive Kohortenstudie (TRIUMPH und Bio-SHiFT) mit 467 und 397 HF-Patienten, die durch Joint-Modeling wiederholte Plasma-Ketonkörper-Messungen und Zusammenhänge mit Tod/HF-Rehospitalisierung analysiert hat.</w:t>
      </w:r>
    </w:p>
    <w:p>
      <w:r>
        <w:rPr>
          <w:b/>
        </w:rPr>
        <w:t xml:space="preserve">Ergebnis: </w:t>
      </w:r>
      <w:r>
        <w:t>TRIUMPH: bei Verdopplung der Gesamt-Ketonkörper HR 2,10 (95%-KI 1,27–3,71) für kombiniertes Ereignis nach Anpassung. Bio-SHiFT: HR 5,36 (2,18–14,0) für Ketonkörper bei Studienendpunkt. Patienten mit Ereignissen zeigten durchgehend höhere Ketonkörper, was anhaltenden metabolischen Stress widerspiegelt.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Niederländisch-deutsche Studienzentren; vergleichbar mit deutschen Kliniken in Struktur und Verfolgung.</w:t>
      </w:r>
    </w:p>
    <w:p>
      <w:r>
        <w:rPr>
          <w:color w:val="5A7D3A"/>
          <w:sz w:val="18"/>
        </w:rPr>
        <w:t>https://pubmed.ncbi.nlm.nih.gov/42671454/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Selektive Adipokinmodulierung verbessert HFpEF-Parameter stärker als Hämodynamik-Targeting</w:t>
      </w:r>
    </w:p>
    <w:p>
      <w:r>
        <w:rPr>
          <w:i/>
          <w:color w:val="666666"/>
          <w:sz w:val="18"/>
        </w:rPr>
        <w:t>Packer M et al.  ·  JACC Heart Fail  ·  08.09.2026  ·  PMID 42714366</w:t>
      </w:r>
    </w:p>
    <w:p>
      <w:r>
        <w:t>Analyse von HFpEF-Patienten (veröffentlichtes abstract, methodische Fokusstudie), Vergleich der Effekte von gerichteter Adipokinmodulation versus traditioneller hämodynamischer Therapieoptimierung.</w:t>
      </w:r>
    </w:p>
    <w:p>
      <w:r>
        <w:rPr>
          <w:b/>
        </w:rPr>
        <w:t xml:space="preserve">Ergebnis: </w:t>
      </w:r>
      <w:r>
        <w:t>Gezielte Adipokinmodulation führte zu messbaren Verbesserungen der linksventrikulären Funktion und Struktur; Hämodynamik-only-Ansätze zeigten weniger Benefit. Hinweis auf Bedeutung inflammatorischer und metabolischer Pathways bei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Mechanismusstudie, USA-Setting, aber adipokine Targets sind universell relevant.</w:t>
      </w:r>
    </w:p>
    <w:p>
      <w:r>
        <w:rPr>
          <w:color w:val="5A7D3A"/>
          <w:sz w:val="18"/>
        </w:rPr>
        <w:t>https://pubmed.ncbi.nlm.nih.gov/42714366/</w:t>
      </w:r>
    </w:p>
    <w:p>
      <w:pPr>
        <w:pStyle w:val="Heading2"/>
      </w:pPr>
      <w:r>
        <w:t>Kombinierte Pulmonalvenenisolation und Vorhofohrkauerstöpselung mit gepulstem Feldablation ist sicher und wirksam</w:t>
      </w:r>
    </w:p>
    <w:p>
      <w:r>
        <w:rPr>
          <w:i/>
          <w:color w:val="666666"/>
          <w:sz w:val="18"/>
        </w:rPr>
        <w:t>Heeger CH et al.  ·  Europace  ·  02.09.2026  ·  PMID 42713747</w:t>
      </w:r>
    </w:p>
    <w:p>
      <w:r>
        <w:t>Retrospektive multizentrische Registerstudie zu 155 Patienten aus neun europäischen Ländern, die sich einer gleichzeitigen gepulsten Feldablation-basierten Pulmonalvenenisolation und Vorhofohrkauerstöpselung unterzogen.</w:t>
      </w:r>
    </w:p>
    <w:p>
      <w:r>
        <w:rPr>
          <w:b/>
        </w:rPr>
        <w:t xml:space="preserve">Ergebnis: </w:t>
      </w:r>
      <w:r>
        <w:t>Primärer Wirksamkeitsendpunkt erreicht bei 97,4 % (PVI erfolgreich 100 %, Verschluss 97,4 %), ernsthafte Nebenwirkungen bei 1,9 %. Sinusrhythmus bei 78,1 % der Patienten mit Follow-up &gt;6 Monate. Eine seltene Komplikation; insgesamt ein praxisrelevantes, kombiniertes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Zentren, deutsche Standorte beteiligt, vergleichbare Strukturen.</w:t>
      </w:r>
    </w:p>
    <w:p>
      <w:r>
        <w:rPr>
          <w:color w:val="5A7D3A"/>
          <w:sz w:val="18"/>
        </w:rPr>
        <w:t>https://pubmed.ncbi.nlm.nih.gov/42713747/</w:t>
      </w:r>
    </w:p>
    <w:p>
      <w:pPr>
        <w:pStyle w:val="Heading2"/>
      </w:pPr>
      <w:r>
        <w:t>LGE-Korridore und Hochrisiko-Genotyp vorhersagen Herzrhythmusstörungen in dilatativer Kardiomyopathie besser als EF ≤35 %</w:t>
      </w:r>
    </w:p>
    <w:p>
      <w:r>
        <w:rPr>
          <w:i/>
          <w:color w:val="666666"/>
          <w:sz w:val="18"/>
        </w:rPr>
        <w:t>Ramos-López N et al.  ·  Circulation  ·  08.09.2026  ·  PMID 42708210</w:t>
      </w:r>
    </w:p>
    <w:p>
      <w:r>
        <w:t>Retrospektive multizentrische europäische Studie mit 925 Patienten mit nichtischämischer Kardiomyopathie, Analyse von Spätanreicherungsmustern im MRT und genetischen Varianten zur Vorhersage maligner ventrikulärer Arrhythmien.</w:t>
      </w:r>
    </w:p>
    <w:p>
      <w:r>
        <w:rPr>
          <w:b/>
        </w:rPr>
        <w:t xml:space="preserve">Ergebnis: </w:t>
      </w:r>
      <w:r>
        <w:t>Nach Median-Follow-up 5,4 Jahre 95 Ereignisse (10,3 %). Pro Läsionskanal im LGE: Subdistribution Hazard Ratio 1,25 (95 % CI 1,11–1,42; p&lt;0,001). Hochrisikogenotpyen: SHR 2,28 (95 % CI 1,32–3,96; p=0,003). Optimales Cutoff ≥4 Korridore. Fünf-Jahres-C-Index 0,72 vs. 0,57 (EF ≤35 %-Klassifikation).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22 europäische Zentren, Europa-weite Kooperation, aber spezialisierte CMR/Genetik-Expertise erforderlich.</w:t>
      </w:r>
    </w:p>
    <w:p>
      <w:r>
        <w:rPr>
          <w:color w:val="5A7D3A"/>
          <w:sz w:val="18"/>
        </w:rPr>
        <w:t>https://pubmed.ncbi.nlm.nih.gov/42708210/</w:t>
      </w:r>
    </w:p>
    <w:p>
      <w:pPr>
        <w:pStyle w:val="Heading2"/>
      </w:pPr>
      <w:r>
        <w:t>Lipidsenker-Therapieintensivierung würde in Dänemark 589 Schlaganfälle jährlich verhindern</w:t>
      </w:r>
    </w:p>
    <w:p>
      <w:r>
        <w:rPr>
          <w:i/>
          <w:color w:val="666666"/>
          <w:sz w:val="18"/>
        </w:rPr>
        <w:t>Mohamed AA et al.  ·  Open Heart  ·  07.09.2026  ·  PMID 42705842</w:t>
      </w:r>
    </w:p>
    <w:p>
      <w:r>
        <w:t>Landesweite dänische Kohortenstudie mit 487.962 Patienten mit hohem oder sehr hohem Atheroskleroserisiko, Messung der LDL-Cholesterin-Zielwert-Erreichung und Modellierung der Auswirkungen von Leitlinienimplementierung.</w:t>
      </w:r>
    </w:p>
    <w:p>
      <w:r>
        <w:rPr>
          <w:b/>
        </w:rPr>
        <w:t xml:space="preserve">Ergebnis: </w:t>
      </w:r>
      <w:r>
        <w:t>Aktuelle Zielerreichung Primärprävention 39,8 % (dänisch) bzw. 15,1 % (europäisch), Sekundärprävention 18,8 %. Mit optimaler Umsetzung Steigerung auf 91,9 % (dänisch) bzw. 75,8 % (europäisch). Implementierung würde 589 Schlaganfälle, 491 Herzinfarkte, 581 Revaskularisationen, 196 kardiovaskuläre Todesfälle jährlich verhindern; 15,8 Mio. € 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Versicherungssystem, aber restriktivere PCSK9-Inhibitor-Erstattung.</w:t>
      </w:r>
    </w:p>
    <w:p>
      <w:r>
        <w:rPr>
          <w:color w:val="5A7D3A"/>
          <w:sz w:val="18"/>
        </w:rPr>
        <w:t>https://pubmed.ncbi.nlm.nih.gov/42705842/</w:t>
      </w:r>
    </w:p>
    <w:p>
      <w:pPr>
        <w:pStyle w:val="Heading2"/>
      </w:pPr>
      <w:r>
        <w:t>Temperaturextreme und Herzinsuffizienzeinweisungen in Schweden: Kältewellen erhöhen Risiko um 8,5 %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Bevölkerungsweite Fall-Crossover-Studie in Schweden mit 482.000 Herzinsuffizienzeinweisungen 2006–2021, Analyse der Assoziation mit Kältephasen und Hitzewellen.</w:t>
      </w:r>
    </w:p>
    <w:p>
      <w:r>
        <w:rPr>
          <w:b/>
        </w:rPr>
        <w:t xml:space="preserve">Ergebnis: </w:t>
      </w:r>
      <w:r>
        <w:t>Kältephasen/niedrigere Temperaturen (lag 2–6 Tage): OR 1,085 für kumulative Assoziation (95 % CI 1,042–1,129). Höhere Temperaturen (lag 0–3): OR 1,009 pro 10-Perzentil-Anstieg (95 % CI 1,006–1,013). Höhere Risiken verzögert bei Kälte, unmittelbar bei Hitze.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klimageografische Besonderheiten; Befund temperaturunabhängig übertragbar.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Diabetische Kardiomyopathie: Expertenpapier zur Abgrenzung als eigenständige Erkrankung</w:t>
      </w:r>
    </w:p>
    <w:p>
      <w:r>
        <w:rPr>
          <w:i/>
          <w:color w:val="666666"/>
          <w:sz w:val="18"/>
        </w:rPr>
        <w:t>Seferovic P et al.  ·  Eur Heart J  ·  02.09.2026  ·  PMID 42681860</w:t>
      </w:r>
    </w:p>
    <w:p>
      <w:r>
        <w:t>Expertenkonsensus-Review zur Frage, ob diabetische Kardiomyopathie als eigenständiger Phänotyp zu definieren ist, mit Diskussion von pathophysiologischen Mechanismen und klinischen Implikationen.</w:t>
      </w:r>
    </w:p>
    <w:p>
      <w:r>
        <w:rPr>
          <w:b/>
        </w:rPr>
        <w:t xml:space="preserve">Ergebnis: </w:t>
      </w:r>
      <w:r>
        <w:t>Mehrheitliche Übereinkunft: Diabetische Kardiomyopathie ist ein eigenständiges Syndrom mit charakteristischen Muskel-, Stoffwechsel- und entzündlichen Merkmalen; Unterscheidung von rein ischämischer oder hypertensiver Kardiomyopathie gerechtfertigt. Empfehlung für zukünftige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Expertenkonsens international, Leitlinien-relevant für Diabetes-Kardiologie-Interface in Deutschland.</w:t>
      </w:r>
    </w:p>
    <w:p>
      <w:r>
        <w:rPr>
          <w:color w:val="5A7D3A"/>
          <w:sz w:val="18"/>
        </w:rPr>
        <w:t>https://pubmed.ncbi.nlm.nih.gov/42681860/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