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Kardiologie</w:t>
      </w:r>
    </w:p>
    <w:p>
      <w:r>
        <w:rPr>
          <w:i/>
          <w:color w:val="666666"/>
          <w:sz w:val="18"/>
        </w:rPr>
        <w:t>Stand: 01.10.2026  |  125 Studien  |  kardio.m-vf.de</w:t>
      </w:r>
    </w:p>
    <w:p>
      <w:pPr>
        <w:pStyle w:val="Heading1"/>
      </w:pPr>
      <w:r>
        <w:t>Aufgenommen am 01.10.2026</w:t>
      </w:r>
    </w:p>
    <w:p>
      <w:pPr>
        <w:pStyle w:val="Heading2"/>
      </w:pPr>
      <w:r>
        <w:t>Kardiovaskulär-Metabolische Überlappung bei hospitalisierten Herzinsuffizienz-Patienten: stark assoziiert mit Mortalität und Neuaufnahmen</w:t>
      </w:r>
    </w:p>
    <w:p>
      <w:r>
        <w:rPr>
          <w:i/>
          <w:color w:val="666666"/>
          <w:sz w:val="18"/>
        </w:rPr>
        <w:t>Kittipibul V et al.  ·  JAMA Cardiol  ·  30.09.2026  ·  PMID 42814450</w:t>
      </w:r>
    </w:p>
    <w:p>
      <w:r>
        <w:t>Retrospektive Kohortenstudie US-weit (GWTG-HF-Register 2019-2025): 725.205 hospitalierte HI-Patienten analysiert zur Prävalenz und Prognoserelevanz von bis zu 4 kardiovaskulär-metabolischen Komorbiditäten.</w:t>
      </w:r>
    </w:p>
    <w:p>
      <w:r>
        <w:rPr>
          <w:b/>
        </w:rPr>
        <w:t xml:space="preserve">Ergebnis: </w:t>
      </w:r>
      <w:r>
        <w:t>71,9% hatten ≥2 CKM-Komorbiditäten (ACVD, CKD, Diabetes, Adipositas), nur 6,7% isolierte HI. Mit jeder zusätzlichen Komorbidität stieg die In-Hospital-Mortalität (z. B. 4 CKM bei HFrEF aOR 5,08 vs. nur HI), ebenso 1-Jahres-Mortalität (aHR 2,10 bei 4 CKM) und HI-Readmission (aHR 2,33), stärker in HFrEF als HFpEF.</w:t>
      </w:r>
    </w:p>
    <w:p>
      <w:r>
        <w:rPr>
          <w:b/>
          <w:sz w:val="19"/>
        </w:rPr>
        <w:t xml:space="preserve">Übertragbarkeit: </w:t>
      </w:r>
      <w:r>
        <w:rPr>
          <w:sz w:val="19"/>
        </w:rPr>
        <w:t>USA-Registry mit übertragbaren Patienten-Merkmalmustern; Komorbidität als unabhängiger Prognosefaktor.</w:t>
      </w:r>
    </w:p>
    <w:p>
      <w:r>
        <w:rPr>
          <w:color w:val="5A7D3A"/>
          <w:sz w:val="18"/>
        </w:rPr>
        <w:t>https://pubmed.ncbi.nlm.nih.gov/42814450/</w:t>
      </w:r>
    </w:p>
    <w:p>
      <w:pPr>
        <w:pStyle w:val="Heading2"/>
      </w:pPr>
      <w:r>
        <w:t>Fixdosis-HFrEF-Polypill erhöht Therapietreue, Sri-Lanka-RCT zeigt Sicherheit</w:t>
      </w:r>
    </w:p>
    <w:p>
      <w:r>
        <w:rPr>
          <w:i/>
          <w:color w:val="666666"/>
          <w:sz w:val="18"/>
        </w:rPr>
        <w:t>Agarwal A et al.  ·  JAMA Cardiol  ·  30.09.2026  ·  PMID 42814433</w:t>
      </w:r>
    </w:p>
    <w:p>
      <w:r>
        <w:t>Randomisierte Studie aus Sri Lanka zur Machbarkeit, Medication-Adherence und Sicherheit einer neuen Mehrfach-Wirkstoff-Fixdosis gegen übliche HFrEF-Therapie.</w:t>
      </w:r>
    </w:p>
    <w:p>
      <w:r>
        <w:rPr>
          <w:b/>
        </w:rPr>
        <w:t xml:space="preserve">Ergebnis: </w:t>
      </w:r>
      <w:r>
        <w:t>Fixdosis-Polypill zeigte Machbarkeit und Sicherheit; primärer Endpunkt: Verbesserte Medication-Adherence und Sicherheitsprofil. Detaillierte Zwischenergebnisse im Abstract nicht vollständig berichtet, aber Durchführbarkeit in einkommensschwacherem Umfeld demonstriert.</w:t>
      </w:r>
    </w:p>
    <w:p>
      <w:r>
        <w:rPr>
          <w:b/>
          <w:sz w:val="19"/>
        </w:rPr>
        <w:t xml:space="preserve">Übertragbarkeit: </w:t>
      </w:r>
      <w:r>
        <w:rPr>
          <w:sz w:val="19"/>
        </w:rPr>
        <w:t>Südostasiatischer Versorgungskontext; Modell für Polypill-Implementierung in Ländern mit niedrigen bis mittleren Ressourcen.</w:t>
      </w:r>
    </w:p>
    <w:p>
      <w:r>
        <w:rPr>
          <w:color w:val="5A7D3A"/>
          <w:sz w:val="18"/>
        </w:rPr>
        <w:t>https://pubmed.ncbi.nlm.nih.gov/42814433/</w:t>
      </w:r>
    </w:p>
    <w:p>
      <w:pPr>
        <w:pStyle w:val="Heading2"/>
      </w:pPr>
      <w:r>
        <w:t>Globale Herzinsuffizienz-Last 1990-2023: 56 Millionen Fälle mit großer geographischer Variation</w:t>
      </w:r>
    </w:p>
    <w:p>
      <w:r>
        <w:rPr>
          <w:i/>
          <w:color w:val="666666"/>
          <w:sz w:val="18"/>
        </w:rPr>
        <w:t>Johnson CO et al.  ·  JAMA Cardiol  ·  30.09.2026  ·  PMID 42814432</w:t>
      </w:r>
    </w:p>
    <w:p>
      <w:r>
        <w:t>Global Burden of Disease-Analyse der Herzinsuffizienz weltweit über drei Jahrzehnte mit Schätzungen nach Alter, Geschlecht, Ort und Ätiologie.</w:t>
      </w:r>
    </w:p>
    <w:p>
      <w:r>
        <w:rPr>
          <w:b/>
        </w:rPr>
        <w:t xml:space="preserve">Ergebnis: </w:t>
      </w:r>
      <w:r>
        <w:t>56,0 Mio. Herzinsuffizienz-Fälle global 2023 (95%-UI 49,9-62,2). Ischämische und hypertensive Herzerkrankung dominieren bei älteren Erwachsenen, regionale Unterschiede in Ätiologien: Rheumamitbeteiligung in Süd-/Südostasien, Alkoholbedingte HI in Osteuropa, Chagas in Lateinamerika. Eine Prävention durch Reduktion modifizierbarer Risikofaktoren wird als möglich dargestellt.</w:t>
      </w:r>
    </w:p>
    <w:p>
      <w:r>
        <w:rPr>
          <w:b/>
          <w:sz w:val="19"/>
        </w:rPr>
        <w:t xml:space="preserve">Übertragbarkeit: </w:t>
      </w:r>
      <w:r>
        <w:rPr>
          <w:sz w:val="19"/>
        </w:rPr>
        <w:t>Global umfassend erhobene Daten zu Krankheitslast und Ätiologien; Grundlage für Priorisierung präventiver Interventionen.</w:t>
      </w:r>
    </w:p>
    <w:p>
      <w:r>
        <w:rPr>
          <w:color w:val="5A7D3A"/>
          <w:sz w:val="18"/>
        </w:rPr>
        <w:t>https://pubmed.ncbi.nlm.nih.gov/42814432/</w:t>
      </w:r>
    </w:p>
    <w:p>
      <w:pPr>
        <w:pStyle w:val="Heading2"/>
      </w:pPr>
      <w:r>
        <w:t>Linksventrikulärer Thrombus nach Herzinfarkt: DOAC versus VKA ohne Unterschied bei Thrombuslösung</w:t>
      </w:r>
    </w:p>
    <w:p>
      <w:r>
        <w:rPr>
          <w:i/>
          <w:color w:val="666666"/>
          <w:sz w:val="18"/>
        </w:rPr>
        <w:t>Maslarska-Martens M et al.  ·  Clin Res Cardiol  ·  30.09.2026  ·  PMID 42814115</w:t>
      </w:r>
    </w:p>
    <w:p>
      <w:r>
        <w:t>Retrospektive Kohortenstudie an einer deutschen Universitätsklinik (Freiburg): 19.964 MI-Patienten gescreent, 166 (0,83%) mit linksventrikulärem Thrombus behandelt mit oraler Antikoagulation.</w:t>
      </w:r>
    </w:p>
    <w:p>
      <w:r>
        <w:rPr>
          <w:b/>
        </w:rPr>
        <w:t xml:space="preserve">Ergebnis: </w:t>
      </w:r>
      <w:r>
        <w:t>79% komplette Thrombuslösung (n=120 mit Follow-up); kein statistisch signifikanter Unterschied zwischen DOAC (87%) und VKA (79%; p=0,42). 38 klinische Ereignisse in 12 Monaten ohne signifikante Unterschiede zwischen Gruppen. DOACs nahmen über Zeit zu.</w:t>
      </w:r>
    </w:p>
    <w:p>
      <w:r>
        <w:rPr>
          <w:b/>
          <w:sz w:val="19"/>
        </w:rPr>
        <w:t xml:space="preserve">Übertragbarkeit: </w:t>
      </w:r>
      <w:r>
        <w:rPr>
          <w:sz w:val="19"/>
        </w:rPr>
        <w:t>Deutsche Klinikdaten von 2008-2022, vergleichbare Dokumentationspflichten und Behandlungsstandards.</w:t>
      </w:r>
    </w:p>
    <w:p>
      <w:r>
        <w:rPr>
          <w:color w:val="5A7D3A"/>
          <w:sz w:val="18"/>
        </w:rPr>
        <w:t>https://pubmed.ncbi.nlm.nih.gov/42814115/</w:t>
      </w:r>
    </w:p>
    <w:p>
      <w:pPr>
        <w:pStyle w:val="Heading2"/>
      </w:pPr>
      <w:r>
        <w:t>Neue Effektivitäts- und Sicherheits-Endpunkte für Vorhofflimmer-Ablations-Studien definiert</w:t>
      </w:r>
    </w:p>
    <w:p>
      <w:r>
        <w:rPr>
          <w:i/>
          <w:color w:val="666666"/>
          <w:sz w:val="18"/>
        </w:rPr>
        <w:t>Wang PJ et al.  ·  Circ Arrhythm Electrophysiol  ·  29.09.2026  ·  PMID 42808156</w:t>
      </w:r>
    </w:p>
    <w:p>
      <w:r>
        <w:t>AFA-ARC Initiative: Internationale Arbeitsgruppe mit FDA, HRS und Patienten-Vertreter überarbeitete Studiendesign und Endpunkte für klinische Prüfungen der Katheter-Ablation bei symptomatischem Vorhofflimmer.</w:t>
      </w:r>
    </w:p>
    <w:p>
      <w:r>
        <w:rPr>
          <w:b/>
        </w:rPr>
        <w:t xml:space="preserve">Ergebnis: </w:t>
      </w:r>
      <w:r>
        <w:t>Konsensus-Dokument mit revidierten Effektivitäts- und Sicherheits-Endpunkten sowie Studiendesign-Empfehlungen für AF-Ablations-Studien bei paroxysmalem, persistierendem und langjährig persistierendem Vorhofflimmer. Von der Heart Rhythm Society gebilligt.</w:t>
      </w:r>
    </w:p>
    <w:p>
      <w:r>
        <w:rPr>
          <w:b/>
          <w:sz w:val="19"/>
        </w:rPr>
        <w:t xml:space="preserve">Übertragbarkeit: </w:t>
      </w:r>
      <w:r>
        <w:rPr>
          <w:sz w:val="19"/>
        </w:rPr>
        <w:t>Internationale Expert:innen-Konvention mit FDA; Standards übertragbar auf deutsche und europäische Studienplanung.</w:t>
      </w:r>
    </w:p>
    <w:p>
      <w:r>
        <w:rPr>
          <w:color w:val="5A7D3A"/>
          <w:sz w:val="18"/>
        </w:rPr>
        <w:t>https://pubmed.ncbi.nlm.nih.gov/42808156/</w:t>
      </w:r>
    </w:p>
    <w:p>
      <w:pPr>
        <w:pStyle w:val="Heading2"/>
      </w:pPr>
      <w:r>
        <w:t>Alternsassoziierte Entzündung verschärft Herzschaden nach Myokardinfarkt bei Mäusen</w:t>
      </w:r>
    </w:p>
    <w:p>
      <w:r>
        <w:rPr>
          <w:i/>
          <w:color w:val="666666"/>
          <w:sz w:val="18"/>
        </w:rPr>
        <w:t>Melika ET et al.  ·  J Mol Cell Cardiol  ·  28.09.2026  ·  PMID 42805582</w:t>
      </w:r>
    </w:p>
    <w:p>
      <w:r>
        <w:t>Experimentelle Studie zur vergleichenden Analyse post-MI-Inflammations-Antworten in jungen und alten Mäusen mit Reporter-Transgenen für Interferon-gamma.</w:t>
      </w:r>
    </w:p>
    <w:p>
      <w:r>
        <w:rPr>
          <w:b/>
        </w:rPr>
        <w:t xml:space="preserve">Ergebnis: </w:t>
      </w:r>
      <w:r>
        <w:t>Alte Mäuse zeigen konservierte IFN-γ-Produktionssignatur und erhöhte pro-inflammatorische Genexpression mit verstärkter IFN-γ-exprimierender T-Zell-Rekrutierung nach MI. Chronische Entzündung in älteren Tieren war mit Verschlimmerung des Remodellings und HI-Progression assoziiert. Akute post-MI-Reaktion kaum beeinträchtigt.</w:t>
      </w:r>
    </w:p>
    <w:p>
      <w:r>
        <w:rPr>
          <w:b/>
          <w:sz w:val="19"/>
        </w:rPr>
        <w:t xml:space="preserve">Übertragbarkeit: </w:t>
      </w:r>
      <w:r>
        <w:rPr>
          <w:sz w:val="19"/>
        </w:rPr>
        <w:t>Grundmechanismus der altersassoziierten Herzinsuffizienz-Progression; präklinisches Modell zur Pathophysiologie.</w:t>
      </w:r>
    </w:p>
    <w:p>
      <w:r>
        <w:rPr>
          <w:color w:val="5A7D3A"/>
          <w:sz w:val="18"/>
        </w:rPr>
        <w:t>https://pubmed.ncbi.nlm.nih.gov/42805582/</w:t>
      </w:r>
    </w:p>
    <w:p>
      <w:pPr>
        <w:pStyle w:val="Heading1"/>
      </w:pPr>
      <w:r>
        <w:t>Aufgenommen am 30.09.2026</w:t>
      </w:r>
    </w:p>
    <w:p>
      <w:pPr>
        <w:pStyle w:val="Heading2"/>
      </w:pPr>
      <w:r>
        <w:t>Kariomyopathie-Zeichen vorhersagen Vorhofflimmern und Schlaganfall</w:t>
      </w:r>
    </w:p>
    <w:p>
      <w:r>
        <w:rPr>
          <w:i/>
          <w:color w:val="666666"/>
          <w:sz w:val="18"/>
        </w:rPr>
        <w:t>Kazi K et al.  ·  Europace  ·  02.09.2026  ·  PMID 42809232</w:t>
      </w:r>
    </w:p>
    <w:p>
      <w:r>
        <w:t>Studie untersuchte, wie die neue EHRA/HRS/APHRS/LHRS-Definition der atrialen Kardiomyopathie mit dem Auftreten von Vorhofflimmern, Herzinsuffizienz und Schlaganfall assoziiert ist.</w:t>
      </w:r>
    </w:p>
    <w:p>
      <w:r>
        <w:rPr>
          <w:b/>
        </w:rPr>
        <w:t xml:space="preserve">Ergebnis: </w:t>
      </w:r>
      <w:r>
        <w:t>Bei 33.485 Patienten mit erhaltener linksventrikulärer Auswurffraktion zeigten Patienten mit Zeichen der atrialen Kardiomyopathie erhöhte Risiken für Vorhofflimmern, Herzinsuffizienz und Schlaganfall. Die Definition bot ein Framework zur Risikostratifizierung in dieser Population.</w:t>
      </w:r>
    </w:p>
    <w:p>
      <w:r>
        <w:rPr>
          <w:b/>
          <w:sz w:val="19"/>
        </w:rPr>
        <w:t xml:space="preserve">Übertragbarkeit: </w:t>
      </w:r>
      <w:r>
        <w:rPr>
          <w:sz w:val="19"/>
        </w:rPr>
        <w:t>UK und europäische Register, vergleichbare klinische Standards und Datenerfassung.</w:t>
      </w:r>
    </w:p>
    <w:p>
      <w:r>
        <w:rPr>
          <w:color w:val="5A7D3A"/>
          <w:sz w:val="18"/>
        </w:rPr>
        <w:t>https://pubmed.ncbi.nlm.nih.gov/42809232/</w:t>
      </w:r>
    </w:p>
    <w:p>
      <w:pPr>
        <w:pStyle w:val="Heading2"/>
      </w:pPr>
      <w:r>
        <w:t>KI-generiertes EKG-Alter verbessert Schlaganfallrisiko-Vorhersage bei Vorhofflimmern mit CHA₂DS₂-VA-Score 1</w:t>
      </w:r>
    </w:p>
    <w:p>
      <w:r>
        <w:rPr>
          <w:i/>
          <w:color w:val="666666"/>
          <w:sz w:val="18"/>
        </w:rPr>
        <w:t>Wu CS et al.  ·  J Am Heart Assoc  ·  29.09.2026  ·  PMID 42808453</w:t>
      </w:r>
    </w:p>
    <w:p>
      <w:r>
        <w:t>Studie testete, ob künstliche Intelligenz-abgeleitetes EKG-Alter die Risikostratifizierung für ischämischen Schlaganfall bei Patienten mit Vorhofflimmern und CHA₂DS₂-VA-Score 1 (Grenzfall für Antikoagulation) verbessert.</w:t>
      </w:r>
    </w:p>
    <w:p>
      <w:r>
        <w:rPr>
          <w:b/>
        </w:rPr>
        <w:t xml:space="preserve">Ergebnis: </w:t>
      </w:r>
      <w:r>
        <w:t>Bei 832 Patienten mit Score 1: EA-CHA₂DS₂-VA-Score ≥2 (n=315) zeigte versus &lt;2 (n=517) HR für Schlaganfall/TIA 1,82 (95%-KI 1,06–3,13; p=0,028) und All-cause-Mortalität HR 2,22 (95%-KI 1,43–3,45; p&lt;0,001). EKG-Alter erhöhte Diskriminierung für Risikostratifizierung.</w:t>
      </w:r>
    </w:p>
    <w:p>
      <w:r>
        <w:rPr>
          <w:b/>
          <w:sz w:val="19"/>
        </w:rPr>
        <w:t xml:space="preserve">Übertragbarkeit: </w:t>
      </w:r>
      <w:r>
        <w:rPr>
          <w:sz w:val="19"/>
        </w:rPr>
        <w:t>USA-Daten, aber EKG-Verarbeitung geräteunabhängig; Grenzfall-Risikogruppe auch für deutsche Praxis relevant.</w:t>
      </w:r>
    </w:p>
    <w:p>
      <w:r>
        <w:rPr>
          <w:color w:val="5A7D3A"/>
          <w:sz w:val="18"/>
        </w:rPr>
        <w:t>https://pubmed.ncbi.nlm.nih.gov/42808453/</w:t>
      </w:r>
    </w:p>
    <w:p>
      <w:pPr>
        <w:pStyle w:val="Heading2"/>
      </w:pPr>
      <w:r>
        <w:t>Apikale Rotation vorhersagt Linksventrikulären Thrombus nach vorderem Herzinfarkt besser als LVEF</w:t>
      </w:r>
    </w:p>
    <w:p>
      <w:r>
        <w:rPr>
          <w:i/>
          <w:color w:val="666666"/>
          <w:sz w:val="18"/>
        </w:rPr>
        <w:t>Jones J et al.  ·  Eur Heart J Cardiovasc Imaging  ·  29.09.2026  ·  PMID 42806427</w:t>
      </w:r>
    </w:p>
    <w:p>
      <w:r>
        <w:t>Prospektive multizentrische Analyse bei 270 Patienten mit anteriorem Myokardinfarkt zur Vorhersage von linksventrikulären Thromben durch apikale Rotation mittels Speckle-Tracking-Echokardiographie.</w:t>
      </w:r>
    </w:p>
    <w:p>
      <w:r>
        <w:rPr>
          <w:b/>
        </w:rPr>
        <w:t xml:space="preserve">Ergebnis: </w:t>
      </w:r>
      <w:r>
        <w:t>LV-Thrombus entwickelten 33% (89/270 Patienten). Apikale Rotation war bei Thrombus signifikant niedriger (5,0° vs 9,8°, p&lt;0,001). Nach multivariater Anpassung: OR 0,45 pro Grad höherer Rotation (p&lt;0,001); AUC 0,91 vs 0,62 (LVEF), p&lt;0,001. Apikale Rotation blieb auch bei LVEF ≤40% superior (AUC 0,89 vs 0,48).</w:t>
      </w:r>
    </w:p>
    <w:p>
      <w:r>
        <w:rPr>
          <w:b/>
          <w:sz w:val="19"/>
        </w:rPr>
        <w:t xml:space="preserve">Übertragbarkeit: </w:t>
      </w:r>
      <w:r>
        <w:rPr>
          <w:sz w:val="19"/>
        </w:rPr>
        <w:t>UK-Zentren mit standardisierter Echokardiographie, vergleichbar mit deutschem Standard.</w:t>
      </w:r>
    </w:p>
    <w:p>
      <w:r>
        <w:rPr>
          <w:color w:val="5A7D3A"/>
          <w:sz w:val="18"/>
        </w:rPr>
        <w:t>https://pubmed.ncbi.nlm.nih.gov/42806427/</w:t>
      </w:r>
    </w:p>
    <w:p>
      <w:pPr>
        <w:pStyle w:val="Heading2"/>
      </w:pPr>
      <w:r>
        <w:t>LIRA-Methode für TAVR bei bikuspidalen Aortenklappen sicher und reproduzierbar</w:t>
      </w:r>
    </w:p>
    <w:p>
      <w:r>
        <w:rPr>
          <w:i/>
          <w:color w:val="666666"/>
          <w:sz w:val="18"/>
        </w:rPr>
        <w:t>Bellini B et al.  ·  JACC Cardiovasc Interv  ·  28.09.2026  ·  PMID 42805721</w:t>
      </w:r>
    </w:p>
    <w:p>
      <w:r>
        <w:t>Multizentrische prospektive Analyse der LIRA-Methode (Level of Implantation at the Raphe) zur Größenbestimmung bei transkatheter Aortenklappenersatz in bikuspidaler Anatomie.</w:t>
      </w:r>
    </w:p>
    <w:p>
      <w:r>
        <w:rPr>
          <w:b/>
        </w:rPr>
        <w:t xml:space="preserve">Ergebnis: </w:t>
      </w:r>
      <w:r>
        <w:t>Bei 215 Patienten mit bikuspidaler Aortenklappe war Prozessersatz in 74,4% möglich. Device-Erfolg nach 30 Tagen: 93%, paravalvuläre Leckage ≥mittelgradig 4,6%, Schrittmacherimplantationen 10,7%, 1-Jahres-Mortalität 5,7%. Die LIRA-Methode zeigte exzellente Reproduzierbarkeit zwischen Zentren (κ=0,85).</w:t>
      </w:r>
    </w:p>
    <w:p>
      <w:r>
        <w:rPr>
          <w:b/>
          <w:sz w:val="19"/>
        </w:rPr>
        <w:t xml:space="preserve">Übertragbarkeit: </w:t>
      </w:r>
      <w:r>
        <w:rPr>
          <w:sz w:val="19"/>
        </w:rPr>
        <w:t>Italienisch-europäische und Schweizer Zentren, übertragbar auf deutsche Kliniken mit Herzklappenexpertise.</w:t>
      </w:r>
    </w:p>
    <w:p>
      <w:r>
        <w:rPr>
          <w:color w:val="5A7D3A"/>
          <w:sz w:val="18"/>
        </w:rPr>
        <w:t>https://pubmed.ncbi.nlm.nih.gov/42805721/</w:t>
      </w:r>
    </w:p>
    <w:p>
      <w:pPr>
        <w:pStyle w:val="Heading2"/>
      </w:pPr>
      <w:r>
        <w:t>Finerenone bremst Nierenfunktionsverlust auch nach Herzinsuffizienz-Hospitalisierung</w:t>
      </w:r>
    </w:p>
    <w:p>
      <w:r>
        <w:rPr>
          <w:i/>
          <w:color w:val="666666"/>
          <w:sz w:val="18"/>
        </w:rPr>
        <w:t>Shafi T et al.  ·  Eur J Heart Fail  ·  28.09.2026  ·  PMID 42803273</w:t>
      </w:r>
    </w:p>
    <w:p>
      <w:r>
        <w:t>Post-hoc-Analyse der FIDELITY-Studien (gepoolte FIDELIO-DKD und FIGARO-DKD) untersuchte, ob Finerenone den Rückgang der geschätzten glomerulären Filtrationsrate (eGFR) auch nach Herzinsuffizienz-Hospitalisierung verlangsamt.</w:t>
      </w:r>
    </w:p>
    <w:p>
      <w:r>
        <w:rPr>
          <w:b/>
        </w:rPr>
        <w:t xml:space="preserve">Ergebnis: </w:t>
      </w:r>
      <w:r>
        <w:t>Vor Herzinsuffizienz-Hospitalisierung sank eGFR unter Finerenone um 2,68 mL/min/1,73m²/Jahr langsamer als Placebo (95%-KI 0,87–4,49), nach Hospitalisierung um 0,96 mL/min/1,73m²/Jahr (95%-KI −0,99–2,91). Der renale Schutzeffekt persistierte auch nach Herzinsuffizienz-Ereignis.</w:t>
      </w:r>
    </w:p>
    <w:p>
      <w:r>
        <w:rPr>
          <w:b/>
          <w:sz w:val="19"/>
        </w:rPr>
        <w:t xml:space="preserve">Übertragbarkeit: </w:t>
      </w:r>
      <w:r>
        <w:rPr>
          <w:sz w:val="19"/>
        </w:rPr>
        <w:t>Internationale Studien, deutsches DMP-System berücksichtigt Finerenone für Diabetiker mit CKD, übertragbar.</w:t>
      </w:r>
    </w:p>
    <w:p>
      <w:r>
        <w:rPr>
          <w:color w:val="5A7D3A"/>
          <w:sz w:val="18"/>
        </w:rPr>
        <w:t>https://pubmed.ncbi.nlm.nih.gov/42803273/</w:t>
      </w:r>
    </w:p>
    <w:p>
      <w:pPr>
        <w:pStyle w:val="Heading2"/>
      </w:pPr>
      <w:r>
        <w:t>Nicht-ischämische Spätgadolinium-Anreicherung im Septum nach Infarkt erklärt Herzinsuffizienz-Risiko besser</w:t>
      </w:r>
    </w:p>
    <w:p>
      <w:r>
        <w:rPr>
          <w:i/>
          <w:color w:val="666666"/>
          <w:sz w:val="18"/>
        </w:rPr>
        <w:t>Zhou P et al.  ·  J Am Heart Assoc  ·  24.09.2026  ·  PMID 42786658</w:t>
      </w:r>
    </w:p>
    <w:p>
      <w:r>
        <w:t>Analyse von 948 Patienten mit Myokardinfarkt zum Vorkommen, zur Verteilung und zur prognostischen Bedeutung nicht-ischämischer Spätgadolinium-Anreicherung (NI-LGE) mittels Kardio-MRT.</w:t>
      </w:r>
    </w:p>
    <w:p>
      <w:r>
        <w:rPr>
          <w:b/>
        </w:rPr>
        <w:t xml:space="preserve">Ergebnis: </w:t>
      </w:r>
      <w:r>
        <w:t>NI-LGE in 78/948 Patienten (8,2%), septal in 100%. Nach Median 69,6 Monaten: 99 HF- und 63 plötzliche Todesfälle. NI-LGE erhöhte HF-Risiko (sHR 5,98, p&lt;0,001), nicht aber plötzlichen Herztod. C-Index für HF stieg von 0,84 auf 0,87 mit NI-LGE (p&lt;0,001). Septum+freie Wand-Beteiligung riskanter als isoliert septal (sHR 2,42, p=0,02).</w:t>
      </w:r>
    </w:p>
    <w:p>
      <w:r>
        <w:rPr>
          <w:b/>
          <w:sz w:val="19"/>
        </w:rPr>
        <w:t xml:space="preserve">Übertragbarkeit: </w:t>
      </w:r>
      <w:r>
        <w:rPr>
          <w:sz w:val="19"/>
        </w:rPr>
        <w:t>China, aber kardiales MRT und CMR-Protokoll international standardisiert, auf deutsches Datenformat übertragbar.</w:t>
      </w:r>
    </w:p>
    <w:p>
      <w:r>
        <w:rPr>
          <w:color w:val="5A7D3A"/>
          <w:sz w:val="18"/>
        </w:rPr>
        <w:t>https://pubmed.ncbi.nlm.nih.gov/42786658/</w:t>
      </w:r>
    </w:p>
    <w:p>
      <w:pPr>
        <w:pStyle w:val="Heading1"/>
      </w:pPr>
      <w:r>
        <w:t>Aufgenommen am 29.09.2026</w:t>
      </w:r>
    </w:p>
    <w:p>
      <w:pPr>
        <w:pStyle w:val="Heading2"/>
      </w:pPr>
      <w:r>
        <w:t>Residuale Mitralklappeninsuffizienz nach transkatheter Kantenfixation vorhersagt 5-Jahres-Mortalität</w:t>
      </w:r>
    </w:p>
    <w:p>
      <w:r>
        <w:rPr>
          <w:i/>
          <w:color w:val="666666"/>
          <w:sz w:val="18"/>
        </w:rPr>
        <w:t>Rottländer D et al.  ·  JACC Cardiovasc Interv  ·  28.09.2026  ·  PMID 42805718</w:t>
      </w:r>
    </w:p>
    <w:p>
      <w:r>
        <w:t>Deutsche Multicenter-Registerstudie (MITRA-PRO) mit 1.491 Patienten zum Einfluss der residualen Mitralklappeninsuffizienz auf die Langzeitmortalität nach transkatheter Kantenfixation (M-TEER).</w:t>
      </w:r>
    </w:p>
    <w:p>
      <w:r>
        <w:rPr>
          <w:b/>
        </w:rPr>
        <w:t xml:space="preserve">Ergebnis: </w:t>
      </w:r>
      <w:r>
        <w:t>5-Jahres-Mortalität 55,1% bei minimaler Insuffizienz versus 67,7% bei relevanter Insuffizienz (MitraScore-Gruppen). Die Beziehung zwischen intraprozeduralem MitraScore und Mortalität war nahezu linear. Residuale Mitralklappeninsuffizienz war ein zeitabhängiger unabhängiger Prädiktor für erhöhte Langzeitmortalität.</w:t>
      </w:r>
    </w:p>
    <w:p>
      <w:r>
        <w:rPr>
          <w:b/>
          <w:sz w:val="19"/>
        </w:rPr>
        <w:t xml:space="preserve">Übertragbarkeit: </w:t>
      </w:r>
      <w:r>
        <w:rPr>
          <w:sz w:val="19"/>
        </w:rPr>
        <w:t>Deutsche Klinikdaten, direkt auf hiesiges Versorgungssystem übertragbar</w:t>
      </w:r>
    </w:p>
    <w:p>
      <w:r>
        <w:rPr>
          <w:color w:val="5A7D3A"/>
          <w:sz w:val="18"/>
        </w:rPr>
        <w:t>https://pubmed.ncbi.nlm.nih.gov/42805718/</w:t>
      </w:r>
    </w:p>
    <w:p>
      <w:pPr>
        <w:pStyle w:val="Heading2"/>
      </w:pPr>
      <w:r>
        <w:t>Ein-Stent-PCI bei echten Bifurkationen unter OCT-Führung senkt Ereignisrate</w:t>
      </w:r>
    </w:p>
    <w:p>
      <w:r>
        <w:rPr>
          <w:i/>
          <w:color w:val="666666"/>
          <w:sz w:val="18"/>
        </w:rPr>
        <w:t>Andreasen LD et al.  ·  JACC Cardiovasc Interv  ·  28.09.2026  ·  PMID 42805715</w:t>
      </w:r>
    </w:p>
    <w:p>
      <w:r>
        <w:t>Post-hoc-Analyse des europäischen OCTOBER-Trials mit 1.201 Patienten mit echten Koronarbifurkationen zur Vorhersage und Outcome-Assoziation von Ein- versus Zwei-Stent-Strategie mit und ohne optische Kohärenztomographie-Führung.</w:t>
      </w:r>
    </w:p>
    <w:p>
      <w:r>
        <w:rPr>
          <w:b/>
        </w:rPr>
        <w:t xml:space="preserve">Ergebnis: </w:t>
      </w:r>
      <w:r>
        <w:t>Zwei-Stent-Strategie war prädiktiert durch akute klinische Präsentation (aOR 1,73), linke Hauptstammbifurkation (aOR 2,04), Seitenastvariabler Länge (aOR 1,06 pro mm) und Stenose-Grad (aOR 1,04 pro 1%). In der Behandlungsanalyse war Ein-Stent mit niedrigerer 2-Jahres-MACE assoziiert (9,0% vs. 13,9%; aHR 1,53). Die niedrigsten Ereignisraten zeigten sich mit OCT-geführtem Ein-Stent.</w:t>
      </w:r>
    </w:p>
    <w:p>
      <w:r>
        <w:rPr>
          <w:b/>
          <w:sz w:val="19"/>
        </w:rPr>
        <w:t xml:space="preserve">Übertragbarkeit: </w:t>
      </w:r>
      <w:r>
        <w:rPr>
          <w:sz w:val="19"/>
        </w:rPr>
        <w:t>Europa, vergleichbare Gesundheitssysteme, interventionelle Standard-Setting</w:t>
      </w:r>
    </w:p>
    <w:p>
      <w:r>
        <w:rPr>
          <w:color w:val="5A7D3A"/>
          <w:sz w:val="18"/>
        </w:rPr>
        <w:t>https://pubmed.ncbi.nlm.nih.gov/42805715/</w:t>
      </w:r>
    </w:p>
    <w:p>
      <w:pPr>
        <w:pStyle w:val="Heading2"/>
      </w:pPr>
      <w:r>
        <w:t>Natriurese-gesteuerte Diuretika-Therapie bei akuter Herzinsuffizienz zeigt Geschlechtsdifferenzen</w:t>
      </w:r>
    </w:p>
    <w:p>
      <w:r>
        <w:rPr>
          <w:i/>
          <w:color w:val="666666"/>
          <w:sz w:val="18"/>
        </w:rPr>
        <w:t>Qin H et al.  ·  Clin Res Cardiol  ·  28.09.2026  ·  PMID 42803951</w:t>
      </w:r>
    </w:p>
    <w:p>
      <w:r>
        <w:t>Prospektive randomisierte Studie (PUSH-AHF) mit 310 Patienten (45% Frauen) zur geschlechtsspezifischen Wirksamkeit einer natriurese-gesteuerten versus Standard-Dekongestion bei akuter Herzinsuffizienz.</w:t>
      </w:r>
    </w:p>
    <w:p>
      <w:r>
        <w:rPr>
          <w:b/>
        </w:rPr>
        <w:t xml:space="preserve">Ergebnis: </w:t>
      </w:r>
      <w:r>
        <w:t>Bei Männern führte natriurese-gesteuerte Therapie zu größerer 24h-Natriurese (443 vs. 354 mmol; p=0,004) und niedrigerem Risiko für 180-Tage-Rehospitalisierung oder Mortalität (HR 0,51; p=0,011). Bei Frauen fand sich kein signifikanter Unterschied (HR 1,40; p=0,368; p-Interaktion=0,026). Die natriuretische Antwort war bei Frauen unter interventioneller Strategie paradox niedriger.</w:t>
      </w:r>
    </w:p>
    <w:p>
      <w:r>
        <w:rPr>
          <w:b/>
          <w:sz w:val="19"/>
        </w:rPr>
        <w:t xml:space="preserve">Übertragbarkeit: </w:t>
      </w:r>
      <w:r>
        <w:rPr>
          <w:sz w:val="19"/>
        </w:rPr>
        <w:t>Niederlande, vergleichbares Versicherungssystem, relevante Geschlechtsdifferenzen</w:t>
      </w:r>
    </w:p>
    <w:p>
      <w:r>
        <w:rPr>
          <w:color w:val="5A7D3A"/>
          <w:sz w:val="18"/>
        </w:rPr>
        <w:t>https://pubmed.ncbi.nlm.nih.gov/42803951/</w:t>
      </w:r>
    </w:p>
    <w:p>
      <w:pPr>
        <w:pStyle w:val="Heading2"/>
      </w:pPr>
      <w:r>
        <w:t>Kalium-Binder bei Herzinsuffizienz und Hyperkaliämie unterscheiden sich in kardiovaskulären Outcomes</w:t>
      </w:r>
    </w:p>
    <w:p>
      <w:r>
        <w:rPr>
          <w:i/>
          <w:color w:val="666666"/>
          <w:sz w:val="18"/>
        </w:rPr>
        <w:t>Fauchier L et al.  ·  ESC Heart Fail  ·  26.09.2026  ·  PMID 42802363</w:t>
      </w:r>
    </w:p>
    <w:p>
      <w:r>
        <w:t>Retrospektive Observationsstudie in TriNetX-Netzwerk mit über 20.000 Patienten zum Vergleich von Patiromer, Natriumzirkoniocyclosilikat und Natriumpolystyrensulfonat bei Herzinsuffizienz mit Hyperkaliämie.</w:t>
      </w:r>
    </w:p>
    <w:p>
      <w:r>
        <w:rPr>
          <w:b/>
        </w:rPr>
        <w:t xml:space="preserve">Ergebnis: </w:t>
      </w:r>
      <w:r>
        <w:t>Patiromer zeigte gegenüber Natriumpolystyrensulfonat niedrigeres Risiko für Herzinsuffizienz-Hospitalisierung (HR 0,573) und kardiovaskuläre Hospitalisierung (HR 0,737), aber leicht höhere Mortalität (HR 1,096). Natriumzirkoniocyclosilikat war mit erhöhten Risiken für Tod (HR 1,139), Herzinsuffizienz-Hospitalisierung (HR 1,184) und Myokardinfarkt (HR 1,132) assoziiert.</w:t>
      </w:r>
    </w:p>
    <w:p>
      <w:r>
        <w:rPr>
          <w:b/>
          <w:sz w:val="19"/>
        </w:rPr>
        <w:t xml:space="preserve">Übertragbarkeit: </w:t>
      </w:r>
      <w:r>
        <w:rPr>
          <w:sz w:val="19"/>
        </w:rPr>
        <w:t>USA-Daten, aber Sicherheits- und Effektivitätsbefunde grundsätzlich übertragbar</w:t>
      </w:r>
    </w:p>
    <w:p>
      <w:r>
        <w:rPr>
          <w:color w:val="5A7D3A"/>
          <w:sz w:val="18"/>
        </w:rPr>
        <w:t>https://pubmed.ncbi.nlm.nih.gov/42802363/</w:t>
      </w:r>
    </w:p>
    <w:p>
      <w:pPr>
        <w:pStyle w:val="Heading2"/>
      </w:pPr>
      <w:r>
        <w:t>Proaktives Herzinsuffizienz-Screening bei Adipositas zeigt hohe Akzeptanz in Primärversorgung</w:t>
      </w:r>
    </w:p>
    <w:p>
      <w:r>
        <w:rPr>
          <w:i/>
          <w:color w:val="666666"/>
          <w:sz w:val="18"/>
        </w:rPr>
        <w:t>Motiram PA et al.  ·  ESC Heart Fail  ·  28.09.2026  ·  PMID 42802361</w:t>
      </w:r>
    </w:p>
    <w:p>
      <w:r>
        <w:t>Prospektive randomisierte Studie (SCORHFE-Trial) zur Machbarkeit und Akzeptanz eines multimodalen Herzinsuffizienz-Screenings (Anamnese, körperliche Untersuchung, EKG, Echokardiographie) bei 420 adipösen Erwachsenen (45+ Jahre) ohne bekannte Herzerkrankung in der niederländischen Primärversorgung.</w:t>
      </w:r>
    </w:p>
    <w:p>
      <w:r>
        <w:rPr>
          <w:b/>
        </w:rPr>
        <w:t xml:space="preserve">Ergebnis: </w:t>
      </w:r>
      <w:r>
        <w:t>Von 746 Interessierten wurden 629 gescreent und 420 randomisiert. In einer zufälligen Teilstichprobe (n=50) gaben 92% der Teilnehmer an, die Screening-Dauer akzeptabel zu finden, 94% berichten niedrige Verfahrensbelastung, 92% unterstützen routinemäßige Implementierung. Median-BMI 35,0 kg/m², 98,4% mit zentraler Adipositas, 23,1% mit ≥2 kardioemetabolischen Risikofaktoren.</w:t>
      </w:r>
    </w:p>
    <w:p>
      <w:r>
        <w:rPr>
          <w:b/>
          <w:sz w:val="19"/>
        </w:rPr>
        <w:t xml:space="preserve">Übertragbarkeit: </w:t>
      </w:r>
      <w:r>
        <w:rPr>
          <w:sz w:val="19"/>
        </w:rPr>
        <w:t>Niederlande, vergleichbares Versicherungssystem, primärärztliche Struktur</w:t>
      </w:r>
    </w:p>
    <w:p>
      <w:r>
        <w:rPr>
          <w:color w:val="5A7D3A"/>
          <w:sz w:val="18"/>
        </w:rPr>
        <w:t>https://pubmed.ncbi.nlm.nih.gov/42802361/</w:t>
      </w:r>
    </w:p>
    <w:p>
      <w:pPr>
        <w:pStyle w:val="Heading2"/>
      </w:pPr>
      <w:r>
        <w:t>Adenosin-Rezeptor-Signaling als therapeutisches Ziel für Myokardfibrose identifiziert</w:t>
      </w:r>
    </w:p>
    <w:p>
      <w:r>
        <w:rPr>
          <w:i/>
          <w:color w:val="666666"/>
          <w:sz w:val="18"/>
        </w:rPr>
        <w:t>Zhang H et al.  ·  Science  ·  24.09.2026  ·  PMID 42784676</w:t>
      </w:r>
    </w:p>
    <w:p>
      <w:r>
        <w:t>Grundlagenforschung mit iPSC-basiertem Hochdurchsatz-Screening zur Identifikation antifibrotischer Substanzen und Validierung in humanem Herzmuskelgewebe sowie Tiermodellen der Herzinsuffizienz mit Charakterisierung des zugrundeliegenden atypischen Adenosin-Rezeptor-Signalwegs.</w:t>
      </w:r>
    </w:p>
    <w:p>
      <w:r>
        <w:rPr>
          <w:b/>
        </w:rPr>
        <w:t xml:space="preserve">Ergebnis: </w:t>
      </w:r>
      <w:r>
        <w:t>Das Screening identifizierte CGS15943 als Leitverbindung. Mechanistische Studien offenbarten einen atypischen Adenosin-Rezeptor-abhängigen Signalweg über Gβγ-Proteine mit Aktivierung von PI3K-AKT und YAP. CGS unterdrückte diesen Signalweg, reduzierte fibrotische Genexpression und Fibroblast-Aktivierung in iPSC-Kardiomyozyten, 3D-Herzgeweben und Herzinsuffizienz-Tiermodellen.</w:t>
      </w:r>
    </w:p>
    <w:p>
      <w:r>
        <w:rPr>
          <w:b/>
          <w:sz w:val="19"/>
        </w:rPr>
        <w:t xml:space="preserve">Übertragbarkeit: </w:t>
      </w:r>
      <w:r>
        <w:rPr>
          <w:sz w:val="19"/>
        </w:rPr>
        <w:t>USA, aber mit humanem iPSC- und Herzgewebemodell, translationaler Mechanismus identifiziert</w:t>
      </w:r>
    </w:p>
    <w:p>
      <w:r>
        <w:rPr>
          <w:color w:val="5A7D3A"/>
          <w:sz w:val="18"/>
        </w:rPr>
        <w:t>https://pubmed.ncbi.nlm.nih.gov/42784676/</w:t>
      </w:r>
    </w:p>
    <w:p>
      <w:pPr>
        <w:pStyle w:val="Heading1"/>
      </w:pPr>
      <w:r>
        <w:t>Aufgenommen am 28.09.2026</w:t>
      </w:r>
    </w:p>
    <w:p>
      <w:pPr>
        <w:pStyle w:val="Heading2"/>
      </w:pPr>
      <w:r>
        <w:t>HFrEF-Medikamente nach Erholung von Vorhofflimmern-Kardiomyopathie sicher absetzbar</w:t>
      </w:r>
    </w:p>
    <w:p>
      <w:r>
        <w:rPr>
          <w:i/>
          <w:color w:val="666666"/>
          <w:sz w:val="18"/>
        </w:rPr>
        <w:t>Cho KK et al.  ·  Int J Cardiol  ·  27.09.2026  ·  PMID 42801916</w:t>
      </w:r>
    </w:p>
    <w:p>
      <w:r>
        <w:t>WITHDRAW-AF-Studie: Kosten-Nutzen-Analyse des Absetzens von Herzinsuffizienz-Pharmaka bei Patienten mit erholter Vorhofflimmern-vermittelter Kardiomyopathie nach Ablation.</w:t>
      </w:r>
    </w:p>
    <w:p>
      <w:r>
        <w:rPr>
          <w:b/>
        </w:rPr>
        <w:t xml:space="preserve">Ergebnis: </w:t>
      </w:r>
      <w:r>
        <w:t>Absetzgruppe sparte 1031 USD pro Patient in den ersten Monaten; über 5 Jahre projizierte Kostenreduktion 3901 vs 8446 USD. Gehstrecke (6-Minutentest) zeigte in 61,8% Vorteile für Absetzen; VO2max in 68,1%; Lebensqualität vergleichbar (QALY-Differenz 0,003).</w:t>
      </w:r>
    </w:p>
    <w:p>
      <w:r>
        <w:rPr>
          <w:b/>
          <w:sz w:val="19"/>
        </w:rPr>
        <w:t xml:space="preserve">Übertragbarkeit: </w:t>
      </w:r>
      <w:r>
        <w:rPr>
          <w:sz w:val="19"/>
        </w:rPr>
        <w:t>Australische Daten; Versorgungsmodell für spezialisierte Ablationszentren transferierbar</w:t>
      </w:r>
    </w:p>
    <w:p>
      <w:r>
        <w:rPr>
          <w:color w:val="5A7D3A"/>
          <w:sz w:val="18"/>
        </w:rPr>
        <w:t>https://pubmed.ncbi.nlm.nih.gov/42801916/</w:t>
      </w:r>
    </w:p>
    <w:p>
      <w:pPr>
        <w:pStyle w:val="Heading2"/>
      </w:pPr>
      <w:r>
        <w:t>Herzinsuffizienz-Phänotypen bei angeborenen Herzfehlern: EF-basierte Risikostratifikation wirksam</w:t>
      </w:r>
    </w:p>
    <w:p>
      <w:r>
        <w:rPr>
          <w:i/>
          <w:color w:val="666666"/>
          <w:sz w:val="18"/>
        </w:rPr>
        <w:t>Moustafa A et al.  ·  Am Heart J  ·  26.09.2026  ·  PMID 42800497</w:t>
      </w:r>
    </w:p>
    <w:p>
      <w:r>
        <w:t>Retrospektive Kohorte von 1303 Erwachsenen mit angeborenen Herzfehlern und Herzinsuffizienz, klasssifiziert nach EF-Phänotypen (HFrEF, HFmrEF, HFpEF).</w:t>
      </w:r>
    </w:p>
    <w:p>
      <w:r>
        <w:rPr>
          <w:b/>
        </w:rPr>
        <w:t xml:space="preserve">Ergebnis: </w:t>
      </w:r>
      <w:r>
        <w:t>HFrEF (23%) versus HFmrEF (42%) versus HFpEF (34%): HFrEF zeigte höchstes adjustiertes Hospitalisierungsrisiko (HR 1,52, p=0,005) und kardiovaskuläres Todesfallrisiko (HR 1,74, p=0,002). HF-Therapie wirksam in HFrEF mit stärkster Assoziation; keine signifikante Assoziation in HFpEF. Prognostische Unterschiede bestätigten EF-basiertes Managementkonzept.</w:t>
      </w:r>
    </w:p>
    <w:p>
      <w:r>
        <w:rPr>
          <w:b/>
          <w:sz w:val="19"/>
        </w:rPr>
        <w:t xml:space="preserve">Übertragbarkeit: </w:t>
      </w:r>
      <w:r>
        <w:rPr>
          <w:sz w:val="19"/>
        </w:rPr>
        <w:t>US-Zentrum; EF-Phänotypisierung international etabliert und in Deutschland anwendbar</w:t>
      </w:r>
    </w:p>
    <w:p>
      <w:r>
        <w:rPr>
          <w:color w:val="5A7D3A"/>
          <w:sz w:val="18"/>
        </w:rPr>
        <w:t>https://pubmed.ncbi.nlm.nih.gov/42800497/</w:t>
      </w:r>
    </w:p>
    <w:p>
      <w:pPr>
        <w:pStyle w:val="Heading2"/>
      </w:pPr>
      <w:r>
        <w:t>Obere gastrointestinale Blutungen nach Herzinfarkt: 20 Jahre Trendanalyse schwedischer Daten</w:t>
      </w:r>
    </w:p>
    <w:p>
      <w:r>
        <w:rPr>
          <w:i/>
          <w:color w:val="666666"/>
          <w:sz w:val="18"/>
        </w:rPr>
        <w:t>Wärme J et al.  ·  Eur J Prev Cardiol  ·  26.09.2026  ·  PMID 42800055</w:t>
      </w:r>
    </w:p>
    <w:p>
      <w:r>
        <w:t>SWEDEHEART-Registerstudie: Blutungskomplikationen nach Myokardinfarkt unter antithrombotischer Therapie von 1999-2020 analysiert – zeitliche Trends in Relation zu therapeutischen Veränderungen.</w:t>
      </w:r>
    </w:p>
    <w:p>
      <w:r>
        <w:rPr>
          <w:b/>
        </w:rPr>
        <w:t xml:space="preserve">Ergebnis: </w:t>
      </w:r>
      <w:r>
        <w:t>Blutungshospitalisierungen stiegen von 2,4% auf 4,5% (Peak 4,7% 2013-14), während MACCE von 20,1% auf 9,4% sank. Gastrointestinaltrakt war häufigster Blutungsort; oberere GI-Blutung überwiegend betroffen. Trends korrelieren mit intensivierter Antithrombose und invasiven Strategien.</w:t>
      </w:r>
    </w:p>
    <w:p>
      <w:r>
        <w:rPr>
          <w:b/>
          <w:sz w:val="19"/>
        </w:rPr>
        <w:t xml:space="preserve">Übertragbarkeit: </w:t>
      </w:r>
      <w:r>
        <w:rPr>
          <w:sz w:val="19"/>
        </w:rPr>
        <w:t>Skandinavisches Gesundheitssystem; Ergebnisse auf deutsche Hochrisikogruppen mit Polymedikation relevant</w:t>
      </w:r>
    </w:p>
    <w:p>
      <w:r>
        <w:rPr>
          <w:color w:val="5A7D3A"/>
          <w:sz w:val="18"/>
        </w:rPr>
        <w:t>https://pubmed.ncbi.nlm.nih.gov/42800055/</w:t>
      </w:r>
    </w:p>
    <w:p>
      <w:pPr>
        <w:pStyle w:val="Heading2"/>
      </w:pPr>
      <w:r>
        <w:t>Native-T1-Wert ersetzt Gadolinium-Kontrastmittel in ATTR-Amyloidose-Diagnostik</w:t>
      </w:r>
    </w:p>
    <w:p>
      <w:r>
        <w:rPr>
          <w:i/>
          <w:color w:val="666666"/>
          <w:sz w:val="18"/>
        </w:rPr>
        <w:t>Aimo A et al.  ·  JACC Cardiovasc Imaging  ·  24.09.2026  ·  PMID 42799727</w:t>
      </w:r>
    </w:p>
    <w:p>
      <w:r>
        <w:t>Beobachtungsstudie an 1675 ATTR-Patienten: Nativer T1-Wert als kontrastmittelfreier CMR-Marker für Amyloidinfiltration zur Diagnose und Risikostratifikation.</w:t>
      </w:r>
    </w:p>
    <w:p>
      <w:r>
        <w:rPr>
          <w:b/>
        </w:rPr>
        <w:t xml:space="preserve">Ergebnis: </w:t>
      </w:r>
      <w:r>
        <w:t>Native T1 ≤1050 ms zeigte 93% Sensitivität und 84% Spezifität für Ausschluss kardialen Befalls; T1 ≥1100 ms zeigte 75% Sensitivität und 88% Spezifität für manifeste Erkrankung. Kalibriert gegen Extrazellularvolumen: Stepwise 3-Jahres-Mortalitäts-Gradient mit Plateauing bei hohen T1-Werten.</w:t>
      </w:r>
    </w:p>
    <w:p>
      <w:r>
        <w:rPr>
          <w:b/>
          <w:sz w:val="19"/>
        </w:rPr>
        <w:t xml:space="preserve">Übertragbarkeit: </w:t>
      </w:r>
      <w:r>
        <w:rPr>
          <w:sz w:val="19"/>
        </w:rPr>
        <w:t>UK-Referenzzentrum; Methode weltweit übertragbar, benötigt aber lokale Kalibrierung</w:t>
      </w:r>
    </w:p>
    <w:p>
      <w:r>
        <w:rPr>
          <w:color w:val="5A7D3A"/>
          <w:sz w:val="18"/>
        </w:rPr>
        <w:t>https://pubmed.ncbi.nlm.nih.gov/42799727/</w:t>
      </w:r>
    </w:p>
    <w:p>
      <w:pPr>
        <w:pStyle w:val="Heading2"/>
      </w:pPr>
      <w:r>
        <w:t>Vorhofflimmern und koronare Krankheit: Interaktionen, Risiken und therapeutische Integration</w:t>
      </w:r>
    </w:p>
    <w:p>
      <w:r>
        <w:rPr>
          <w:i/>
          <w:color w:val="666666"/>
          <w:sz w:val="18"/>
        </w:rPr>
        <w:t>Verburg A et al.  ·  Heart  ·  24.09.2026  ·  PMID 42785754</w:t>
      </w:r>
    </w:p>
    <w:p>
      <w:r>
        <w:t>Narrative Review zur Epidemiologie, Pathophysiologie und Diagnostik von kombiniertem Vorhofflimmern und koronarer Artery-Disease sowie integrierten Managementstrategien für Antithrombose, Rhythmuskontrolle und Ischämietherapie.</w:t>
      </w:r>
    </w:p>
    <w:p>
      <w:r>
        <w:rPr>
          <w:b/>
        </w:rPr>
        <w:t xml:space="preserve">Ergebnis: </w:t>
      </w:r>
      <w:r>
        <w:t>Ko-Vorliegen schafft High-Risk-Phänotyp mit höheren Raten Schlaganfall, ACS, Herzinsuffizienz und Mortalität als Monoerkrankung. Bidirektionale Pathophysiologie: AF verschärft myokardiale Ischämie und Endotheldysfunktion; KHK fördert atriale Umgestaltung. Review fasst Evidenz zur integrierten therapeutischen Entscheidungsfindung bei antithrombotischer Intensität, Rate- vs. Rhythmuskontrolle und Ischämiebewältigung zusammen.</w:t>
      </w:r>
    </w:p>
    <w:p>
      <w:r>
        <w:rPr>
          <w:b/>
          <w:sz w:val="19"/>
        </w:rPr>
        <w:t xml:space="preserve">Übertragbarkeit: </w:t>
      </w:r>
      <w:r>
        <w:rPr>
          <w:sz w:val="19"/>
        </w:rPr>
        <w:t>Niederländisch-dänische Autorengruppe; europäische Versorgungsperspektive vollständig auf Deutschland übertragbar</w:t>
      </w:r>
    </w:p>
    <w:p>
      <w:r>
        <w:rPr>
          <w:color w:val="5A7D3A"/>
          <w:sz w:val="18"/>
        </w:rPr>
        <w:t>https://pubmed.ncbi.nlm.nih.gov/42785754/</w:t>
      </w:r>
    </w:p>
    <w:p>
      <w:pPr>
        <w:pStyle w:val="Heading2"/>
      </w:pPr>
      <w:r>
        <w:t>Programmierte Ventrikelstimulation stratifiziert Plötzliche-Tode-Risiko bei erhaltener Ejektionsfraktion</w:t>
      </w:r>
    </w:p>
    <w:p>
      <w:r>
        <w:rPr>
          <w:i/>
          <w:color w:val="666666"/>
          <w:sz w:val="18"/>
        </w:rPr>
        <w:t>Gardziejczyk P et al.  ·  JACC Clin Electrophysiol  ·  16.09.2026  ·  PMID 42776090</w:t>
      </w:r>
    </w:p>
    <w:p>
      <w:r>
        <w:t>Prospektive Studie an 182 Patienten mit nichtischämischer Kardiomyopathie, EMV-Narbennachweis und LVEF ≥40%: Prognostischer Wert der programmierten Ventrikelstimulation für Arrhythmieereignisse.</w:t>
      </w:r>
    </w:p>
    <w:p>
      <w:r>
        <w:rPr>
          <w:b/>
        </w:rPr>
        <w:t xml:space="preserve">Ergebnis: </w:t>
      </w:r>
      <w:r>
        <w:t>PVS positiv in 45 (25%): Majorale arrhythmische Ereignisse in 29% versus PVS-negativ 1,5% (p&lt;0,001). Negative Vorhersagekraft 98,5%. Zusätzliche Prädiktoren: multifokale PVCs (HR 6,6), Familiengeschichte (HR 16,7), QRS ≥100 ms (HR 5,2), LVEF ≤50% (HR 4,4). Kombinierter Score zeigte C-Statistik 0,892.</w:t>
      </w:r>
    </w:p>
    <w:p>
      <w:r>
        <w:rPr>
          <w:b/>
          <w:sz w:val="19"/>
        </w:rPr>
        <w:t xml:space="preserve">Übertragbarkeit: </w:t>
      </w:r>
      <w:r>
        <w:rPr>
          <w:sz w:val="19"/>
        </w:rPr>
        <w:t>US-Tertiärzentrum; Methodik relevant für ICD-Indikationserstellung bei Borderline-EF</w:t>
      </w:r>
    </w:p>
    <w:p>
      <w:r>
        <w:rPr>
          <w:color w:val="5A7D3A"/>
          <w:sz w:val="18"/>
        </w:rPr>
        <w:t>https://pubmed.ncbi.nlm.nih.gov/42776090/</w:t>
      </w:r>
    </w:p>
    <w:p>
      <w:pPr>
        <w:pStyle w:val="Heading1"/>
      </w:pPr>
      <w:r>
        <w:t>Aufgenommen am 27.09.2026</w:t>
      </w:r>
    </w:p>
    <w:p>
      <w:pPr>
        <w:pStyle w:val="Heading2"/>
      </w:pPr>
      <w:r>
        <w:t>Intrakoronares Adenosin reduziert No-Reflow beim akuten Herzinfarkt: randomisierte Studie mit funktionellen Verbesserungen</w:t>
      </w:r>
    </w:p>
    <w:p>
      <w:r>
        <w:rPr>
          <w:i/>
          <w:color w:val="666666"/>
          <w:sz w:val="18"/>
        </w:rPr>
        <w:t>Saad A et al.  ·  Am J Cardiol  ·  26.09.2026  ·  PMID 42800528</w:t>
      </w:r>
    </w:p>
    <w:p>
      <w:r>
        <w:t>RCT zur Frage, ob intrakoronares Adenosin nach Erreichung von TIMI-1-Flow die No-Reflow-Rate bei primärer PCI für STEMI senkt und linke Ventrikelfunktion verbessert.</w:t>
      </w:r>
    </w:p>
    <w:p>
      <w:r>
        <w:rPr>
          <w:b/>
        </w:rPr>
        <w:t xml:space="preserve">Ergebnis: </w:t>
      </w:r>
      <w:r>
        <w:t>200 STEMI-Patienten: Adenosin reduzierte No-Reflow (33 % vs. 60 %, p&lt;0,001), erhöhte TIMI-III-Flow (86 % vs. 49 %, p&lt;0,001) und MBG III (68 % vs. 42 %, p=0,003). Post-PCI-EF höher (42,64±8,92 % vs. 38,40±9,34 %, p=0,001), kleinere LV-Volumen. Einfaches Verfahren mit hartem Endpunkt.</w:t>
      </w:r>
    </w:p>
    <w:p>
      <w:r>
        <w:rPr>
          <w:b/>
          <w:sz w:val="19"/>
        </w:rPr>
        <w:t xml:space="preserve">Übertragbarkeit: </w:t>
      </w:r>
      <w:r>
        <w:rPr>
          <w:sz w:val="19"/>
        </w:rPr>
        <w:t>Ägyptisch-US-amerikanische Einzelzenter-RCT, Ergebnisse sind methodologisch unabhängig von Gesundheitssystem-Unterschieden übertragbar.</w:t>
      </w:r>
    </w:p>
    <w:p>
      <w:r>
        <w:rPr>
          <w:color w:val="5A7D3A"/>
          <w:sz w:val="18"/>
        </w:rPr>
        <w:t>https://pubmed.ncbi.nlm.nih.gov/42800528/</w:t>
      </w:r>
    </w:p>
    <w:p>
      <w:pPr>
        <w:pStyle w:val="Heading2"/>
      </w:pPr>
      <w:r>
        <w:t>Katheterablation des Vorhofflimmerns nach Vorhofohr-Verschluss: Gerinnungsmanagement bei hohem Blutungsrisiko sicher möglich</w:t>
      </w:r>
    </w:p>
    <w:p>
      <w:r>
        <w:rPr>
          <w:i/>
          <w:color w:val="666666"/>
          <w:sz w:val="18"/>
        </w:rPr>
        <w:t>Kaplan RM et al.  ·  Europace  ·  25.09.2026  ·  PMID 42786895</w:t>
      </w:r>
    </w:p>
    <w:p>
      <w:r>
        <w:t>Multizentrische Analyse zur Sicherheit und Wirksamkeit der Vorhofflimmern-Ablation bei Patienten mit vorhandenem Linksvorhofohr-Verschlussgerät und Blutungsrisiko.</w:t>
      </w:r>
    </w:p>
    <w:p>
      <w:r>
        <w:rPr>
          <w:b/>
        </w:rPr>
        <w:t xml:space="preserve">Ergebnis: </w:t>
      </w:r>
      <w:r>
        <w:t>Bei 198 Patienten (Median 271 Tage nach Devices-Implantation) zeigten sich nach Ablation in 84 % eine orale Antikoagulation, Blutungskomplikationen bei 6,7 %, Schlaganfall/TIA bei 2,6 %; neue/verschlimmerte Peridevice-Lecks bei nur 2 Fällen. Ablation war machbar, geräteassoziierte Komplikationen selten.</w:t>
      </w:r>
    </w:p>
    <w:p>
      <w:r>
        <w:rPr>
          <w:b/>
          <w:sz w:val="19"/>
        </w:rPr>
        <w:t xml:space="preserve">Übertragbarkeit: </w:t>
      </w:r>
      <w:r>
        <w:rPr>
          <w:sz w:val="19"/>
        </w:rPr>
        <w:t>Multizentrische Registerdaten aus Europa und Nordamerika – Ergebnisse übertragbar auf europäische Versorgungsrealität.</w:t>
      </w:r>
    </w:p>
    <w:p>
      <w:r>
        <w:rPr>
          <w:color w:val="5A7D3A"/>
          <w:sz w:val="18"/>
        </w:rPr>
        <w:t>https://pubmed.ncbi.nlm.nih.gov/42786895/</w:t>
      </w:r>
    </w:p>
    <w:p>
      <w:pPr>
        <w:pStyle w:val="Heading2"/>
      </w:pPr>
      <w:r>
        <w:t>Koronaraneurysma bei Kawasaki-Krankheit: akutes Koronarsyndrom vom Säugling bis zum Erwachsenen</w:t>
      </w:r>
    </w:p>
    <w:p>
      <w:r>
        <w:rPr>
          <w:i/>
          <w:color w:val="666666"/>
          <w:sz w:val="18"/>
        </w:rPr>
        <w:t>Jone PN et al.  ·  Circulation  ·  22.09.2026  ·  PMID 42766690</w:t>
      </w:r>
    </w:p>
    <w:p>
      <w:r>
        <w:t>Narrativ review zur epidemiologiologischen und pathophysiologischen Grundlage sowie Managementoptionen des koronaren Syndroms bei Kawasaki-Krankheit über die gesamte Lebensspanne.</w:t>
      </w:r>
    </w:p>
    <w:p>
      <w:r>
        <w:rPr>
          <w:b/>
        </w:rPr>
        <w:t xml:space="preserve">Ergebnis: </w:t>
      </w:r>
      <w:r>
        <w:t>Review synthetisiert aktuelle Evidenz zu Koronaraneurysmen, Bildgebung, interventionellen Techniken und Antithrombose sowie Post-ACS-Überwachung bei Kawasaki-Krankheit. Koordinierte Zusammenarbeit pädiatrischer und erwachsener Kardiologen wird als notwendig hervorgehoben.</w:t>
      </w:r>
    </w:p>
    <w:p>
      <w:r>
        <w:rPr>
          <w:b/>
          <w:sz w:val="19"/>
        </w:rPr>
        <w:t xml:space="preserve">Übertragbarkeit: </w:t>
      </w:r>
      <w:r>
        <w:rPr>
          <w:sz w:val="19"/>
        </w:rPr>
        <w:t>Klinisches Übersichtswerk; Empfehlungen basieren auf internationaler Leitlinienliteratur.</w:t>
      </w:r>
    </w:p>
    <w:p>
      <w:r>
        <w:rPr>
          <w:color w:val="5A7D3A"/>
          <w:sz w:val="18"/>
        </w:rPr>
        <w:t>https://pubmed.ncbi.nlm.nih.gov/42766690/</w:t>
      </w:r>
    </w:p>
    <w:p>
      <w:pPr>
        <w:pStyle w:val="Heading2"/>
      </w:pPr>
      <w:r>
        <w:t>Neue mechanische Kreislaufunterstützung beim kardiogenen Schock: technische Innovation und klinische Evidenz</w:t>
      </w:r>
    </w:p>
    <w:p>
      <w:r>
        <w:rPr>
          <w:i/>
          <w:color w:val="666666"/>
          <w:sz w:val="18"/>
        </w:rPr>
        <w:t>Thiele H et al.  ·  Circ Heart Fail  ·  15.09.2026  ·  PMID 42743344</w:t>
      </w:r>
    </w:p>
    <w:p>
      <w:r>
        <w:t>Review aktueller und erzeugender Technologien für temporäre mechanische Unterstützungssysteme in kardiogenem Schock und hochriskanten Herzkatheterintervention.</w:t>
      </w:r>
    </w:p>
    <w:p>
      <w:r>
        <w:rPr>
          <w:b/>
        </w:rPr>
        <w:t xml:space="preserve">Ergebnis: </w:t>
      </w:r>
      <w:r>
        <w:t>Neuere Systeme ermöglichen höhere kardiale Leistung bei limitierten vaskulären Zugängen und verbesserter Blutverträglichkeit; aktuelle Systeme bleiben durch Gefäßkomplikationen, Hämolyse und unsicheren Überlebensvorteil begrenzt. Technologie und Indikationen werden systematisch übersichtlich gemacht.</w:t>
      </w:r>
    </w:p>
    <w:p>
      <w:r>
        <w:rPr>
          <w:b/>
          <w:sz w:val="19"/>
        </w:rPr>
        <w:t xml:space="preserve">Übertragbarkeit: </w:t>
      </w:r>
      <w:r>
        <w:rPr>
          <w:sz w:val="19"/>
        </w:rPr>
        <w:t>Review der verfügbaren Evidenz aus klinischen Studien und Registern – Grundlage für Behandlungsentscheidungen.</w:t>
      </w:r>
    </w:p>
    <w:p>
      <w:r>
        <w:rPr>
          <w:color w:val="5A7D3A"/>
          <w:sz w:val="18"/>
        </w:rPr>
        <w:t>https://pubmed.ncbi.nlm.nih.gov/42743344/</w:t>
      </w:r>
    </w:p>
    <w:p>
      <w:pPr>
        <w:pStyle w:val="Heading2"/>
      </w:pPr>
      <w:r>
        <w:t>Atrialer Elektrotransport bei Menschen und Tieren: Vergleich für bessere Translation bei Vorhofflimmern</w:t>
      </w:r>
    </w:p>
    <w:p>
      <w:r>
        <w:rPr>
          <w:i/>
          <w:color w:val="666666"/>
          <w:sz w:val="18"/>
        </w:rPr>
        <w:t>Paasche A et al.  ·  J Am Heart Assoc  ·  15.09.2026  ·  PMID 42714435</w:t>
      </w:r>
    </w:p>
    <w:p>
      <w:r>
        <w:t>Systematische Charakterisierung der speziesspezifischen Elektro physiologie in Atrien von Menschen, Mäusen, Ratten, Schweinen und Pferden mittels einheitlicher Protokolle mit in-silico-Modellierung.</w:t>
      </w:r>
    </w:p>
    <w:p>
      <w:r>
        <w:rPr>
          <w:b/>
        </w:rPr>
        <w:t xml:space="preserve">Ergebnis: </w:t>
      </w:r>
      <w:r>
        <w:t>Schweineatrien ähneln menschlichen Zellen in Depolarisierungsmerkmalen stark, Nager unterscheiden sich deutlich. Menschliches frühes Repolarisierungsmuster korrelierte mit höherem IKur-Beitrag; späte Repolarisierung skalierte mit Species. Geschlechtsunterschiede traten in Menschen und Schweinen, nicht in Nagern auf. In-silico-Simulationen zeigten Chamber-spezifische Unterschiede.</w:t>
      </w:r>
    </w:p>
    <w:p>
      <w:r>
        <w:rPr>
          <w:b/>
          <w:sz w:val="19"/>
        </w:rPr>
        <w:t xml:space="preserve">Übertragbarkeit: </w:t>
      </w:r>
      <w:r>
        <w:rPr>
          <w:sz w:val="19"/>
        </w:rPr>
        <w:t>Deutsche Forschungsinstitutionen (Heidelberg, Göttingen, Karlsruhe); Referenzdaten verbesserter Übersetzbarkeit tierexperimenteller Befunde.</w:t>
      </w:r>
    </w:p>
    <w:p>
      <w:r>
        <w:rPr>
          <w:color w:val="5A7D3A"/>
          <w:sz w:val="18"/>
        </w:rPr>
        <w:t>https://pubmed.ncbi.nlm.nih.gov/42714435/</w:t>
      </w:r>
    </w:p>
    <w:p>
      <w:pPr>
        <w:pStyle w:val="Heading2"/>
      </w:pPr>
      <w:r>
        <w:t>Herzinsuffizienz 2026: neue Mechanismen, Phänotypen und therapeutische Innovationen im Überblick</w:t>
      </w:r>
    </w:p>
    <w:p>
      <w:r>
        <w:rPr>
          <w:i/>
          <w:color w:val="666666"/>
          <w:sz w:val="18"/>
        </w:rPr>
        <w:t>Liguori V et al.  ·  ESC Heart Fail  ·  01.09.2026  ·  PMID 42679357</w:t>
      </w:r>
    </w:p>
    <w:p>
      <w:r>
        <w:t>Aktualisierte Übersicht wissenschaftlicher Fortschritte in Epidemiologie, Pathophysiologie, Diagnostik und Therapie der Herzinsuffizienz nach neuem Universal-Schema.</w:t>
      </w:r>
    </w:p>
    <w:p>
      <w:r>
        <w:rPr>
          <w:b/>
        </w:rPr>
        <w:t xml:space="preserve">Ergebnis: </w:t>
      </w:r>
      <w:r>
        <w:t>Neues Klassifikationsrahmenwerk jenseits Ejektionsfraktion: HFrEF und HFpEF; mechanistische Einblicke in Entzündung, Immunaktivierung, Metabolismus, Mitochondrien; Fortschritt bei Komorbiditäten (CKD, Diabetes, Adipositas, AF, PH, Frailty). Diagnostik: Biomarker, Multi-Omics, KI, erweiterte Bildgebung. Therapeutische Evidenz bei SGLT2-Hemmern, Finerenone, GLP-1, Katheterventilinterventionen.</w:t>
      </w:r>
    </w:p>
    <w:p>
      <w:r>
        <w:rPr>
          <w:b/>
          <w:sz w:val="19"/>
        </w:rPr>
        <w:t xml:space="preserve">Übertragbarkeit: </w:t>
      </w:r>
      <w:r>
        <w:rPr>
          <w:sz w:val="19"/>
        </w:rPr>
        <w:t>Europäische Leitlinienarbeit (ESC) – direkte Übertragbarkeit auf deutsche Versorgung und Leitlinienentwicklung.</w:t>
      </w:r>
    </w:p>
    <w:p>
      <w:r>
        <w:rPr>
          <w:color w:val="5A7D3A"/>
          <w:sz w:val="18"/>
        </w:rPr>
        <w:t>https://pubmed.ncbi.nlm.nih.gov/42679357/</w:t>
      </w:r>
    </w:p>
    <w:p>
      <w:pPr>
        <w:pStyle w:val="Heading1"/>
      </w:pPr>
      <w:r>
        <w:t>Aufgenommen am 26.09.2026</w:t>
      </w:r>
    </w:p>
    <w:p>
      <w:pPr>
        <w:pStyle w:val="Heading2"/>
      </w:pPr>
      <w:r>
        <w:t>Geografische Variation der HCM-Diagnostik in Dänemark: Prävalenz 71/100.000, regional bis 80,3</w:t>
      </w:r>
    </w:p>
    <w:p>
      <w:r>
        <w:rPr>
          <w:i/>
          <w:color w:val="666666"/>
          <w:sz w:val="18"/>
        </w:rPr>
        <w:t>Bhardwaj P et al.  ·  Open Heart  ·  25.09.2026  ·  PMID 42791014</w:t>
      </w:r>
    </w:p>
    <w:p>
      <w:r>
        <w:t>Bevölkerungsbasierte Registerstudie der diagnostizierten hypertrophen (HCM) und arrhythmogenen rechtsventrikulären Kardiomyopathie (ARVC) in Dänemark.</w:t>
      </w:r>
    </w:p>
    <w:p>
      <w:r>
        <w:rPr>
          <w:b/>
        </w:rPr>
        <w:t xml:space="preserve">Ergebnis: </w:t>
      </w:r>
      <w:r>
        <w:t>HCM-Prävalenz 71 pro 100.000 (regional 61,4–80,3); ARVC 8,1 pro 100.000 ohne regionale Variation. HCM zeigt signifikante geografische und Urban-Rural-Unterschiede, ARVC gleichmäßig verteilt – deutet auf Einfluss von Gesundheitsorganisation und Überweisungsmuster hin.</w:t>
      </w:r>
    </w:p>
    <w:p>
      <w:r>
        <w:rPr>
          <w:b/>
          <w:sz w:val="19"/>
        </w:rPr>
        <w:t xml:space="preserve">Übertragbarkeit: </w:t>
      </w:r>
      <w:r>
        <w:rPr>
          <w:sz w:val="19"/>
        </w:rPr>
        <w:t>Dänemark (universelles Gesundheitssystem), für deutsche Mindestmengen-Diskussion in der Kardiomyopathie-Diagnostik relevant.</w:t>
      </w:r>
    </w:p>
    <w:p>
      <w:r>
        <w:rPr>
          <w:color w:val="5A7D3A"/>
          <w:sz w:val="18"/>
        </w:rPr>
        <w:t>https://pubmed.ncbi.nlm.nih.gov/42791014/</w:t>
      </w:r>
    </w:p>
    <w:p>
      <w:pPr>
        <w:pStyle w:val="Heading2"/>
      </w:pPr>
      <w:r>
        <w:t>HFpEF-Phänotypen entwickeln sich unterschiedlich: progressiv früh oder stabil fortgeschritten; KI-Vorhersage C-Index 0,66</w:t>
      </w:r>
    </w:p>
    <w:p>
      <w:r>
        <w:rPr>
          <w:i/>
          <w:color w:val="666666"/>
          <w:sz w:val="18"/>
        </w:rPr>
        <w:t>Brown S et al.  ·  Open Heart  ·  25.09.2026  ·  PMID 42791013</w:t>
      </w:r>
    </w:p>
    <w:p>
      <w:r>
        <w:t>NLP-basierte Phänotypisierung von 2.223 HFpEF-Patienten aus Echtdaten-EHR (2010–2022) mittels Latent-Class-Analysis und Random-Forest-Klassifikation über 5 Jahre zur Identifikation von stabilen versus progressiven Krankheitszuständen.</w:t>
      </w:r>
    </w:p>
    <w:p>
      <w:r>
        <w:rPr>
          <w:b/>
        </w:rPr>
        <w:t xml:space="preserve">Ergebnis: </w:t>
      </w:r>
      <w:r>
        <w:t>Vier HFpEF-Phänotypen: jung-geringe Komorbiditäten (22 %, Übergangswahrscheinlichkeit 47,7 %), Adipositas-dominant (24 %), ältere-atriale Dysfunktion (32 %, 12,1 %), kardiovaskulär-nieren-metabolisch (23 %, 3,2 %, Mortalität HR 1,53). Aktuelle Phänotyp-Klassifikation diskriminiert Mortalität besser als Baseline (C-Index 0,659 vs 0,648).</w:t>
      </w:r>
    </w:p>
    <w:p>
      <w:r>
        <w:rPr>
          <w:b/>
          <w:sz w:val="19"/>
        </w:rPr>
        <w:t xml:space="preserve">Übertragbarkeit: </w:t>
      </w:r>
      <w:r>
        <w:rPr>
          <w:sz w:val="19"/>
        </w:rPr>
        <w:t>UK (King's College London multisite EHR), NLP-gestützte Phänotypisierung könnte EHR-Daten deutscher Kliniken zur HFpEF-Stratifikation nutzen.</w:t>
      </w:r>
    </w:p>
    <w:p>
      <w:r>
        <w:rPr>
          <w:color w:val="5A7D3A"/>
          <w:sz w:val="18"/>
        </w:rPr>
        <w:t>https://pubmed.ncbi.nlm.nih.gov/42791013/</w:t>
      </w:r>
    </w:p>
    <w:p>
      <w:pPr>
        <w:pStyle w:val="Heading2"/>
      </w:pPr>
      <w:r>
        <w:t>Mehrorgan-Aging-Marker im Blut beschleunigen vor Herzinsuffizienz-Komplikationen und prognostizieren unabhängig vom BNP</w:t>
      </w:r>
    </w:p>
    <w:p>
      <w:r>
        <w:rPr>
          <w:i/>
          <w:color w:val="666666"/>
          <w:sz w:val="18"/>
        </w:rPr>
        <w:t>Qu K et al.  ·  Eur J Heart Fail  ·  25.09.2026  ·  PMID 42789496</w:t>
      </w:r>
    </w:p>
    <w:p>
      <w:r>
        <w:t>Longitudinale Proteomik-Studie zweier Kohorten (557 Personen HELPFul HFpEF-Risk bis Diagnose, 382 etablierte HF mit LVEF&lt;50%) zur Organalterung aus Plasma-Proteinen (Organ Age Gaps, OAG).</w:t>
      </w:r>
    </w:p>
    <w:p>
      <w:r>
        <w:rPr>
          <w:b/>
        </w:rPr>
        <w:t xml:space="preserve">Ergebnis: </w:t>
      </w:r>
      <w:r>
        <w:t>Patienten mit ungünstigen Ereignissen zeigen beschleunigte Multi-Organ-Aging über 2,1 Jahre (Immunsystem β=0,36 z-score/Jahr, Herz β=0,29). Nieren-, Lungen- und Immunalterung bleiben nach Adjustierung auf NT-proBNP und Troponin T prognostisch (p&lt;0,05). Baseline-OAGs unterscheiden sich nach HF-Schweregrad.</w:t>
      </w:r>
    </w:p>
    <w:p>
      <w:r>
        <w:rPr>
          <w:b/>
          <w:sz w:val="19"/>
        </w:rPr>
        <w:t xml:space="preserve">Übertragbarkeit: </w:t>
      </w:r>
      <w:r>
        <w:rPr>
          <w:sz w:val="19"/>
        </w:rPr>
        <w:t>Niederlande/UK (HELPFul und Bio-SHiFT), explorative Studie; Proteom-Marker könnten HF-Risiko-Stratifikation verfeinern, brauchen Validierung.</w:t>
      </w:r>
    </w:p>
    <w:p>
      <w:r>
        <w:rPr>
          <w:color w:val="5A7D3A"/>
          <w:sz w:val="18"/>
        </w:rPr>
        <w:t>https://pubmed.ncbi.nlm.nih.gov/42789496/</w:t>
      </w:r>
    </w:p>
    <w:p>
      <w:pPr>
        <w:pStyle w:val="Heading2"/>
      </w:pPr>
      <w:r>
        <w:t>Operative linksatriale Appendage-Okklusion bei Sinusrhythmus reduziert Schlaganfall um 25 Prozent, erhöht Vorhofflimmern-Inzidenz</w:t>
      </w:r>
    </w:p>
    <w:p>
      <w:r>
        <w:rPr>
          <w:i/>
          <w:color w:val="666666"/>
          <w:sz w:val="18"/>
        </w:rPr>
        <w:t>Song Q et al.  ·  J Am Heart Assoc  ·  24.09.2026  ·  PMID 42786657</w:t>
      </w:r>
    </w:p>
    <w:p>
      <w:r>
        <w:t>Metaanalyse von 11 Studien (12.145 Teilnehmer) zur elektiven chirurgischen LAAO versus keine LAAO bei Patienten ohne präoperatives Vorhofflimmern.</w:t>
      </w:r>
    </w:p>
    <w:p>
      <w:r>
        <w:rPr>
          <w:b/>
        </w:rPr>
        <w:t xml:space="preserve">Ergebnis: </w:t>
      </w:r>
      <w:r>
        <w:t>Chirurgische LAAO reduzierte neu aufgetretenes TIA/Schlaganfall (OR 0,75; 95%-KI 0,62–0,90) und Blutungen (OR 0,78; 95%-KI 0,60–1,00), erhöhte aber postoperatives Vorhofflimmern (OR 1,27; 95%-KI 1,06–1,53). Kein Unterschied in Gesamtsterblichkeit oder Liegedauer.</w:t>
      </w:r>
    </w:p>
    <w:p>
      <w:r>
        <w:rPr>
          <w:b/>
          <w:sz w:val="19"/>
        </w:rPr>
        <w:t xml:space="preserve">Übertragbarkeit: </w:t>
      </w:r>
      <w:r>
        <w:rPr>
          <w:sz w:val="19"/>
        </w:rPr>
        <w:t>11 überwiegend nicht-deutsche Zentren; Evidenz-Niveau moderat; Entscheidung zu elektiven LAAO-Implantationen ist evidenzbasiert.</w:t>
      </w:r>
    </w:p>
    <w:p>
      <w:r>
        <w:rPr>
          <w:color w:val="5A7D3A"/>
          <w:sz w:val="18"/>
        </w:rPr>
        <w:t>https://pubmed.ncbi.nlm.nih.gov/42786657/</w:t>
      </w:r>
    </w:p>
    <w:p>
      <w:pPr>
        <w:pStyle w:val="Heading2"/>
      </w:pPr>
      <w:r>
        <w:t>Frühe kardiologische Rehabilitation nach Herzinsuffizienz-Klinikaufenthalt senkt Sterblichkeit um 51 bis 61 Prozent</w:t>
      </w:r>
    </w:p>
    <w:p>
      <w:r>
        <w:rPr>
          <w:i/>
          <w:color w:val="666666"/>
          <w:sz w:val="18"/>
        </w:rPr>
        <w:t>Katano S et al.  ·  J Am Heart Assoc  ·  24.09.2026  ·  PMID 42786652</w:t>
      </w:r>
    </w:p>
    <w:p>
      <w:r>
        <w:t>Japanische Registerstudie (564.830 Patienten mit akuter Herzinsuffizienz 2012–2023) zum zeitlichen Zusammenhang zwischen Aufnahme und Beginn kardiologischer Rehabilitation und Krankenhausergebnis.</w:t>
      </w:r>
    </w:p>
    <w:p>
      <w:r>
        <w:rPr>
          <w:b/>
        </w:rPr>
        <w:t xml:space="preserve">Ergebnis: </w:t>
      </w:r>
      <w:r>
        <w:t>Alle Rehabilitations-Zeitquartile (≤1 Tag bis ≥6 Tage) zeigten niedrigere Krankenhaussterblichkeit gegen Nicht-Rehab-Gruppe: adjustierte Odds Ratios 0,39–0,49 (p&lt;0,001). Funktionelle Besserung (Barthel-Index) optimal bei 2–3 Tagen, Mortalitätsabsenkung über breiteres Zeitfenster bis 6 Tage. Spline-Analysen zeigen nichtlineare Assoziationen.</w:t>
      </w:r>
    </w:p>
    <w:p>
      <w:r>
        <w:rPr>
          <w:b/>
          <w:sz w:val="19"/>
        </w:rPr>
        <w:t xml:space="preserve">Übertragbarkeit: </w:t>
      </w:r>
      <w:r>
        <w:rPr>
          <w:sz w:val="19"/>
        </w:rPr>
        <w:t>Japan (Universitätskliniken, strukturierte Rehabilitation), organisatorisches Modell für deutsche Herzinsuffizienz-Rehabilitation anwendbar.</w:t>
      </w:r>
    </w:p>
    <w:p>
      <w:r>
        <w:rPr>
          <w:color w:val="5A7D3A"/>
          <w:sz w:val="18"/>
        </w:rPr>
        <w:t>https://pubmed.ncbi.nlm.nih.gov/42786652/</w:t>
      </w:r>
    </w:p>
    <w:p>
      <w:pPr>
        <w:pStyle w:val="Heading2"/>
      </w:pPr>
      <w:r>
        <w:t>Präemptive Sternumganglien-Blockade senkt postoperatives Vorhofflimmern nach Bypass um 56 Prozent</w:t>
      </w:r>
    </w:p>
    <w:p>
      <w:r>
        <w:rPr>
          <w:i/>
          <w:color w:val="666666"/>
          <w:sz w:val="18"/>
        </w:rPr>
        <w:t>Tian S et al.  ·  JACC Clin Electrophysiol  ·  21.09.2026  ·  PMID 42782230</w:t>
      </w:r>
    </w:p>
    <w:p>
      <w:r>
        <w:t>Randomisierte kontrollierte Studie (n=108 modifizierte Intention-to-Treat) zur präoperativen linken Stellatumganglien-Blockade zur Reduktion postoperativen Vorhofflimmerns nach Koronarbypass mit Herz-Lungen-Maschine.</w:t>
      </w:r>
    </w:p>
    <w:p>
      <w:r>
        <w:rPr>
          <w:b/>
        </w:rPr>
        <w:t xml:space="preserve">Ergebnis: </w:t>
      </w:r>
      <w:r>
        <w:t>POAF-Inzidenz 5 Tage postoperativ: SGB 18,5 % vs Kontrolle 44,4 % (OR 0,288; 95%-KI 0,106–0,731; p=0,007). SGB zeigte auch niedrigere POAF-Last, kürzere Episoden-Dauer, niedrigere Entzündungsmarker (CRP, IL-6, hs-Troponin T) und kürzerer Krankenhausaufenthalt.</w:t>
      </w:r>
    </w:p>
    <w:p>
      <w:r>
        <w:rPr>
          <w:b/>
          <w:sz w:val="19"/>
        </w:rPr>
        <w:t xml:space="preserve">Übertragbarkeit: </w:t>
      </w:r>
      <w:r>
        <w:rPr>
          <w:sz w:val="19"/>
        </w:rPr>
        <w:t>China (ein Zentrum); physiologisches Konzept ist übertragbar; Methode könnte für SZ-Bypass-Patienten evaluiert werden.</w:t>
      </w:r>
    </w:p>
    <w:p>
      <w:r>
        <w:rPr>
          <w:color w:val="5A7D3A"/>
          <w:sz w:val="18"/>
        </w:rPr>
        <w:t>https://pubmed.ncbi.nlm.nih.gov/42782230/</w:t>
      </w:r>
    </w:p>
    <w:p>
      <w:pPr>
        <w:pStyle w:val="Heading1"/>
      </w:pPr>
      <w:r>
        <w:t>Aufgenommen am 25.09.2026</w:t>
      </w:r>
    </w:p>
    <w:p>
      <w:pPr>
        <w:pStyle w:val="Heading2"/>
      </w:pPr>
      <w:r>
        <w:t>Kardiales Risiko in der Schwangerschaft - Scores überschätzen Komplikationen</w:t>
      </w:r>
    </w:p>
    <w:p>
      <w:r>
        <w:rPr>
          <w:i/>
          <w:color w:val="666666"/>
          <w:sz w:val="18"/>
        </w:rPr>
        <w:t>Houri O et al.  ·  Open Heart  ·  24.09.2026  ·  PMID 42785923</w:t>
      </w:r>
    </w:p>
    <w:p>
      <w:r>
        <w:t>Externe Validierung dreier etablierter Risikoscores (mWHO, CARPREG II, ZAHARA) an einer israelischen Hochrisiko-Kohorte von 407 Schwangerschaften bei 282 Frauen mit Herzerkrankung (2009–2023).</w:t>
      </w:r>
    </w:p>
    <w:p>
      <w:r>
        <w:rPr>
          <w:b/>
        </w:rPr>
        <w:t xml:space="preserve">Ergebnis: </w:t>
      </w:r>
      <w:r>
        <w:t>Beobachtete kardiale Komplikationen: 4,18 % (17 Ereignisse), kein mütterlicher Tod. Vorhergesagte Raten: CARPREG II 12,78 %, mWHO 8,3 %, ZAHARA 6,7 %. Observed-to-Expected-Quoten 0,33, 0,50 und 0,62. Diskriminationsfähigkeit moderat (AUC 0,69–0,74). Keine der Scores sagte geburtshilfliche Komplikationen voraus.</w:t>
      </w:r>
    </w:p>
    <w:p>
      <w:r>
        <w:rPr>
          <w:b/>
          <w:sz w:val="19"/>
        </w:rPr>
        <w:t xml:space="preserve">Übertragbarkeit: </w:t>
      </w:r>
      <w:r>
        <w:rPr>
          <w:sz w:val="19"/>
        </w:rPr>
        <w:t>Spezialisierte Zentren, externe Validierung in anderer Population - Ergebnis zeigt Kalibrierdrift, erfordert Individualisierung</w:t>
      </w:r>
    </w:p>
    <w:p>
      <w:r>
        <w:rPr>
          <w:color w:val="5A7D3A"/>
          <w:sz w:val="18"/>
        </w:rPr>
        <w:t>https://pubmed.ncbi.nlm.nih.gov/42785923/</w:t>
      </w:r>
    </w:p>
    <w:p>
      <w:pPr>
        <w:pStyle w:val="Heading2"/>
      </w:pPr>
      <w:r>
        <w:t>Katheterablation bei Vorhofflimmern unter 30 Jahren - hohe Erfolgsraten ohne Komplikationen</w:t>
      </w:r>
    </w:p>
    <w:p>
      <w:r>
        <w:rPr>
          <w:i/>
          <w:color w:val="666666"/>
          <w:sz w:val="18"/>
        </w:rPr>
        <w:t>Doldi F et al.  ·  Heart Rhythm  ·  24.09.2026  ·  PMID 42785609</w:t>
      </w:r>
    </w:p>
    <w:p>
      <w:r>
        <w:t>Multizentrische deutsche Registerstudie zu Ablationsergebnissen bei jungen Patienten (≤30 Jahre) mit Vorhofflimmern und erstmaliger Pulmonalvenenisolation (2005–2025).</w:t>
      </w:r>
    </w:p>
    <w:p>
      <w:r>
        <w:rPr>
          <w:b/>
        </w:rPr>
        <w:t xml:space="preserve">Ergebnis: </w:t>
      </w:r>
      <w:r>
        <w:t>Von 104 Patienten mit mittlerem Alter 29,1 Jahren (83,6 % paroxysmales VHF) betrug die Freiheit von VHF bei 1, 2 und 3 Jahren 93,6 %, 88,2 % und 82,1 %; 94,9 % nach bis zu zwei Prozeduren. Komplikationen: 2,1 % (3 Patienten). Paroxysmal vs. persistentes VHF: 98,5 % vs. 67,7 % bei 1 Jahr (p&lt;0,001).</w:t>
      </w:r>
    </w:p>
    <w:p>
      <w:r>
        <w:rPr>
          <w:b/>
          <w:sz w:val="19"/>
        </w:rPr>
        <w:t xml:space="preserve">Übertragbarkeit: </w:t>
      </w:r>
      <w:r>
        <w:rPr>
          <w:sz w:val="19"/>
        </w:rPr>
        <w:t>Deutsche Hochvolumenzentren, direkt auf nationale Strukturen übertragbar</w:t>
      </w:r>
    </w:p>
    <w:p>
      <w:r>
        <w:rPr>
          <w:color w:val="5A7D3A"/>
          <w:sz w:val="18"/>
        </w:rPr>
        <w:t>https://pubmed.ncbi.nlm.nih.gov/42785609/</w:t>
      </w:r>
    </w:p>
    <w:p>
      <w:pPr>
        <w:pStyle w:val="Heading2"/>
      </w:pPr>
      <w:r>
        <w:t>Akutes Nierenversagen im kardiogenen Schock - Phänotypen und Therapeutische Ziele</w:t>
      </w:r>
    </w:p>
    <w:p>
      <w:r>
        <w:rPr>
          <w:i/>
          <w:color w:val="666666"/>
          <w:sz w:val="18"/>
        </w:rPr>
        <w:t>Hanff TC et al.  ·  Circ Heart Fail  ·  15.09.2026  ·  PMID 42743342</w:t>
      </w:r>
    </w:p>
    <w:p>
      <w:r>
        <w:t>Narratives Review zur Epidemiologie, Pathophysiologie und Klassifikation akuter Nierenschädigung (AKI) im kardiogenen Schock mit Fokus auf heterogene Phänotypen und therapeutische Ansätze.</w:t>
      </w:r>
    </w:p>
    <w:p>
      <w:r>
        <w:rPr>
          <w:b/>
        </w:rPr>
        <w:t xml:space="preserve">Ergebnis: </w:t>
      </w:r>
      <w:r>
        <w:t>AKI tritt häufig auf und verschlechtert sowohl Kurz- als auch Langzeitprognose erheblich. Mehrere biologisch unterscheidbare Phänotypen wurden identifiziert (früh vs. spät, akut vs. akut auf chronisch). Neue biomarkerbasierte und gerätegestützte Strategien zeigen Potential, Nierenperfusion zu verbessern und Stauung zu reduzieren.</w:t>
      </w:r>
    </w:p>
    <w:p>
      <w:r>
        <w:rPr>
          <w:b/>
          <w:sz w:val="19"/>
        </w:rPr>
        <w:t xml:space="preserve">Übertragbarkeit: </w:t>
      </w:r>
      <w:r>
        <w:rPr>
          <w:sz w:val="19"/>
        </w:rPr>
        <w:t>Konzeptionell-mechanistisches Überblickswerk, Empfehlungen zur individualisiertem Diagnostik und Therapie</w:t>
      </w:r>
    </w:p>
    <w:p>
      <w:r>
        <w:rPr>
          <w:color w:val="5A7D3A"/>
          <w:sz w:val="18"/>
        </w:rPr>
        <w:t>https://pubmed.ncbi.nlm.nih.gov/42743342/</w:t>
      </w:r>
    </w:p>
    <w:p>
      <w:pPr>
        <w:pStyle w:val="Heading2"/>
      </w:pPr>
      <w:r>
        <w:t>Zytomegalievirus-Latenz verstärkt Entzündung nach Herzinfarkt - experimentelle und klinische Evidenz</w:t>
      </w:r>
    </w:p>
    <w:p>
      <w:r>
        <w:rPr>
          <w:i/>
          <w:color w:val="666666"/>
          <w:sz w:val="18"/>
        </w:rPr>
        <w:t>Dapergola E et al.  ·  Circ Res  ·  14.09.2026  ·  PMID 42734064</w:t>
      </w:r>
    </w:p>
    <w:p>
      <w:r>
        <w:t>Kombination aus experimentellem Mausmodell und klinischer Kohortenanalyse zur Frage, ob latente CMV-Infektion die kardiale Heilung nach Myokardinfarkt durch persistente Entzündung beeinträchtigt.</w:t>
      </w:r>
    </w:p>
    <w:p>
      <w:r>
        <w:rPr>
          <w:b/>
        </w:rPr>
        <w:t xml:space="preserve">Ergebnis: </w:t>
      </w:r>
      <w:r>
        <w:t>Mäuse mit CMV-Exposition zeigten post-MI stärkere Entzündungsantworten mit erhöhter CD8+-T-Zellinfiltraten und verschlechterter Herzfunktion. In Patienten mit CMV-seropositiven MI fanden sich CMV-responsive T-Zellen im Myokard. Latente CMV-Infektion führt zu langfristigen Veränderungen der kardialen Mikroumgebung und beeinträchtigt die Heilung nach MI.</w:t>
      </w:r>
    </w:p>
    <w:p>
      <w:r>
        <w:rPr>
          <w:b/>
          <w:sz w:val="19"/>
        </w:rPr>
        <w:t xml:space="preserve">Übertragbarkeit: </w:t>
      </w:r>
      <w:r>
        <w:rPr>
          <w:sz w:val="19"/>
        </w:rPr>
        <w:t>Grundlagenarbeit mit erkennbarem Weg zur Klinik (Biomarker, Immuntherapie)</w:t>
      </w:r>
    </w:p>
    <w:p>
      <w:r>
        <w:rPr>
          <w:color w:val="5A7D3A"/>
          <w:sz w:val="18"/>
        </w:rPr>
        <w:t>https://pubmed.ncbi.nlm.nih.gov/42734064/</w:t>
      </w:r>
    </w:p>
    <w:p>
      <w:pPr>
        <w:pStyle w:val="Heading2"/>
      </w:pPr>
      <w:r>
        <w:t>Geschlechtsspezifische Unterschiede bei Kryoballonablation bei Vorhofflimmern</w:t>
      </w:r>
    </w:p>
    <w:p>
      <w:r>
        <w:rPr>
          <w:i/>
          <w:color w:val="666666"/>
          <w:sz w:val="18"/>
        </w:rPr>
        <w:t>Heil E et al.  ·  Europace  ·  02.09.2026  ·  PMID 42696497</w:t>
      </w:r>
    </w:p>
    <w:p>
      <w:r>
        <w:t>Deutsche Registerstudie aus dem Deutschen Herzzentrum der Charité zu Unterschieden bei Läsionserzeugung und VHF-Rezidiven nach Kryoballonablation zwischen Männern und Frauen.</w:t>
      </w:r>
    </w:p>
    <w:p>
      <w:r>
        <w:rPr>
          <w:b/>
        </w:rPr>
        <w:t xml:space="preserve">Ergebnis: </w:t>
      </w:r>
      <w:r>
        <w:t>Geschlechtsspezifische Unterschiede in Läsionsmerkamlen und Rezidivraten werden identifiziert - die genauen Zahlen sind im zur Verfügung stehenden Abstract nicht genannt, aber systematische Unterschiede in der Ablationswirksamkeit zwischen Frauen und Männern wurden nachgewiesen.</w:t>
      </w:r>
    </w:p>
    <w:p>
      <w:r>
        <w:rPr>
          <w:b/>
          <w:sz w:val="19"/>
        </w:rPr>
        <w:t xml:space="preserve">Übertragbarkeit: </w:t>
      </w:r>
      <w:r>
        <w:rPr>
          <w:sz w:val="19"/>
        </w:rPr>
        <w:t>Deutsche Klinikdaten, vergleichbare Dokumentation und Strukturen</w:t>
      </w:r>
    </w:p>
    <w:p>
      <w:r>
        <w:rPr>
          <w:color w:val="5A7D3A"/>
          <w:sz w:val="18"/>
        </w:rPr>
        <w:t>https://pubmed.ncbi.nlm.nih.gov/42696497/</w:t>
      </w:r>
    </w:p>
    <w:p>
      <w:pPr>
        <w:pStyle w:val="Heading2"/>
      </w:pPr>
      <w:r>
        <w:t>Zielplatzierung der Ventrikelektrodenposition - keine Verbesserung der Krankenhausaufenthalte</w:t>
      </w:r>
    </w:p>
    <w:p>
      <w:r>
        <w:rPr>
          <w:i/>
          <w:color w:val="666666"/>
          <w:sz w:val="18"/>
        </w:rPr>
        <w:t>Nielsen JC et al.  ·  Lancet  ·  26.09.2026  ·  PMID 42673980</w:t>
      </w:r>
    </w:p>
    <w:p>
      <w:r>
        <w:t>Randomisierte kontrollierte Studie aus Dänemark zur Frage, ob die Positionierung der LV-Elektrode an der Stelle spätester elektrischer Aktivierung bei der biventrikulären Therapie der Herzinsuffizienz (HF) Todesfälle oder HF-Hospitalisierungen reduziert.</w:t>
      </w:r>
    </w:p>
    <w:p>
      <w:r>
        <w:rPr>
          <w:b/>
        </w:rPr>
        <w:t xml:space="preserve">Ergebnis: </w:t>
      </w:r>
      <w:r>
        <w:t>Unter 1000 Patienten mit HF und breitem QRS trat der primäre Endpunkt in 28 % der Interventionsgruppe vs. 26 % der Kontrollgruppe auf (HR 1,10, 95%-KI 0,86–1,39; p=0,45). Komplikationen waren ähnlich, aber Elektrodenkomplikationen häufiger in der Interventionsgruppe. Zielgerichtete Elektrodenplatzierung reduzierte Todesfälle oder HF-Hospitalisierungen nicht.</w:t>
      </w:r>
    </w:p>
    <w:p>
      <w:r>
        <w:rPr>
          <w:b/>
          <w:sz w:val="19"/>
        </w:rPr>
        <w:t xml:space="preserve">Übertragbarkeit: </w:t>
      </w:r>
      <w:r>
        <w:rPr>
          <w:sz w:val="19"/>
        </w:rPr>
        <w:t>Dänemark, nationales, multizentrisch koordiniertes Versorgungssystem, übertragbar auf Deutschland</w:t>
      </w:r>
    </w:p>
    <w:p>
      <w:r>
        <w:rPr>
          <w:color w:val="5A7D3A"/>
          <w:sz w:val="18"/>
        </w:rPr>
        <w:t>https://pubmed.ncbi.nlm.nih.gov/42673980/</w:t>
      </w:r>
    </w:p>
    <w:p>
      <w:pPr>
        <w:pStyle w:val="Heading2"/>
      </w:pPr>
      <w:r>
        <w:t>Hämoglobin bei Herzinsuffizienz - kontextabhängige Deutung von Normalwerten erforderlich</w:t>
      </w:r>
    </w:p>
    <w:p>
      <w:r>
        <w:rPr>
          <w:i/>
          <w:color w:val="666666"/>
          <w:sz w:val="18"/>
        </w:rPr>
        <w:t>Anker SD et al.  ·  J Am Coll Cardiol  ·  28.08.2026  ·  PMID 42670736</w:t>
      </w:r>
    </w:p>
    <w:p>
      <w:r>
        <w:t>Kritische Analyse zur Rolle des Hämoglobins bei Herzinsuffizienzpatienten mit Bezug auf prognostische Implikationen und individualisierte Therapieentscheidungen.</w:t>
      </w:r>
    </w:p>
    <w:p>
      <w:r>
        <w:rPr>
          <w:b/>
        </w:rPr>
        <w:t xml:space="preserve">Ergebnis: </w:t>
      </w:r>
      <w:r>
        <w:t>Während Anämie ein Risikofaktor ist, ist der prädiktive Wert von Hämoglobinwerten im Normalbereich bei HF nicht linear und stark abhängig von Begleiterkrankungen. Normale Hämoglobinwerte können bei HF-Patienten mit Niereninsuffizienz oder anderen Begleiterkrankungen pathologische Bedeutung haben.</w:t>
      </w:r>
    </w:p>
    <w:p>
      <w:r>
        <w:rPr>
          <w:b/>
          <w:sz w:val="19"/>
        </w:rPr>
        <w:t xml:space="preserve">Übertragbarkeit: </w:t>
      </w:r>
      <w:r>
        <w:rPr>
          <w:sz w:val="19"/>
        </w:rPr>
        <w:t>Europäische und deutsche Praxis, etablierte Definitionen gelten auch hier</w:t>
      </w:r>
    </w:p>
    <w:p>
      <w:r>
        <w:rPr>
          <w:color w:val="5A7D3A"/>
          <w:sz w:val="18"/>
        </w:rPr>
        <w:t>https://pubmed.ncbi.nlm.nih.gov/42670736/</w:t>
      </w:r>
    </w:p>
    <w:p>
      <w:pPr>
        <w:pStyle w:val="Heading1"/>
      </w:pPr>
      <w:r>
        <w:t>Aufgenommen am 24.09.2026</w:t>
      </w:r>
    </w:p>
    <w:p>
      <w:pPr>
        <w:pStyle w:val="Heading2"/>
      </w:pPr>
      <w:r>
        <w:t>Orale Hormontherapie erhöht thrombotische Ereignisse in der Menopause deutlich</w:t>
      </w:r>
    </w:p>
    <w:p>
      <w:r>
        <w:rPr>
          <w:i/>
          <w:color w:val="666666"/>
          <w:sz w:val="18"/>
        </w:rPr>
        <w:t>Berggreen J et al.  ·  BMJ  ·  23.09.2026  ·  PMID 42778212</w:t>
      </w:r>
    </w:p>
    <w:p>
      <w:r>
        <w:t>Dänische Kohortenstudie mit 9807 Frauen mit venöser Thromboembolie, 18460 mit ischämischem Schlaganfall und 11974 mit Herzinfarkt zwischen 2003 und 2021; Vergleich zwischen Frauen mit und ohne Hormontherapie.</w:t>
      </w:r>
    </w:p>
    <w:p>
      <w:r>
        <w:rPr>
          <w:b/>
        </w:rPr>
        <w:t xml:space="preserve">Ergebnis: </w:t>
      </w:r>
      <w:r>
        <w:t>Oral-Östrogen-Therapie erhöhte gegenüber Nichtanwendung: Venöse Thromboembolie HR 1,6 (95% CI 1,5–1,8), ischämischer Schlaganfall HR 1,3 (1,2–1,4), Herzinfarkt HR 1,2 (1,1–1,3). Absolute Risikozunahme pro Jahr: 0,09% (VTE), 0,06% (Schlaganfall), 0,03% (Herzinfarkt). Transdermal-Therapie zeigte keine erhöhten Risiken außer für kombinierte zyklische Therapie (MI HR 2,1). Die Risiken stiegen mit Dosis (&gt;1 mg/Tag) und Dauer (&gt;5 Jahre).</w:t>
      </w:r>
    </w:p>
    <w:p>
      <w:r>
        <w:rPr>
          <w:b/>
          <w:sz w:val="19"/>
        </w:rPr>
        <w:t xml:space="preserve">Übertragbarkeit: </w:t>
      </w:r>
      <w:r>
        <w:rPr>
          <w:sz w:val="19"/>
        </w:rPr>
        <w:t>Dänische Registerdaten, europäischer Sozialversicherungskontext, direkt übertragbar</w:t>
      </w:r>
    </w:p>
    <w:p>
      <w:r>
        <w:rPr>
          <w:color w:val="5A7D3A"/>
          <w:sz w:val="18"/>
        </w:rPr>
        <w:t>https://pubmed.ncbi.nlm.nih.gov/42778212/</w:t>
      </w:r>
    </w:p>
    <w:p>
      <w:pPr>
        <w:pStyle w:val="Heading2"/>
      </w:pPr>
      <w:r>
        <w:t>Finerenon bei Herzinsuffizienz mit unerkannter chronischer Nierenerkrankung</w:t>
      </w:r>
    </w:p>
    <w:p>
      <w:r>
        <w:rPr>
          <w:i/>
          <w:color w:val="666666"/>
          <w:sz w:val="18"/>
        </w:rPr>
        <w:t>Ostrominski JW et al.  ·  JAMA Cardiol  ·  23.09.2026  ·  PMID 42776557</w:t>
      </w:r>
    </w:p>
    <w:p>
      <w:r>
        <w:t>Sekundäranalyse der FINEARTS-HF-Studie zur Prävalenz und kardiovaskulären Folgen undiagnostizierter chronischer Nierenerkrankung bei Herzinsuffizienz-Hochrisikopatienten.</w:t>
      </w:r>
    </w:p>
    <w:p>
      <w:r>
        <w:rPr>
          <w:b/>
        </w:rPr>
        <w:t xml:space="preserve">Ergebnis: </w:t>
      </w:r>
      <w:r>
        <w:t>Keine Abstrakt-Ergebnisse verfügbar (nur Ankündigung der Analyse); Sekundäranalyse ohne benannte Endpunkte im Abstract.</w:t>
      </w:r>
    </w:p>
    <w:p>
      <w:r>
        <w:rPr>
          <w:color w:val="5A7D3A"/>
          <w:sz w:val="18"/>
        </w:rPr>
        <w:t>https://pubmed.ncbi.nlm.nih.gov/42776557/</w:t>
      </w:r>
    </w:p>
    <w:p>
      <w:pPr>
        <w:pStyle w:val="Heading2"/>
      </w:pPr>
      <w:r>
        <w:t>Neue Flussparameter senken unbestimmte Stress-Echos bei Aortenstenose</w:t>
      </w:r>
    </w:p>
    <w:p>
      <w:r>
        <w:rPr>
          <w:i/>
          <w:color w:val="666666"/>
          <w:sz w:val="18"/>
        </w:rPr>
        <w:t>Vamvakidou A et al.  ·  Circ Cardiovasc Imaging  ·  23.09.2026  ·  PMID 42775464</w:t>
      </w:r>
    </w:p>
    <w:p>
      <w:r>
        <w:t>Retrospektive europäische Multicenterstudie mit 287 Patienten mit Low-gradient-Aortenstenose und Dobutamin-Stressechokardiographie; Bewertung konventioneller vs. neuer transvalvulärer Flusskriterien.</w:t>
      </w:r>
    </w:p>
    <w:p>
      <w:r>
        <w:rPr>
          <w:b/>
        </w:rPr>
        <w:t xml:space="preserve">Ergebnis: </w:t>
      </w:r>
      <w:r>
        <w:t>Mit konventionellen Kriterien: 43% unbestimmte Befunde. Mit neuen Flusskriterien sank dieser Anteil auf 9%. Bei 84 (29%) Patienten mit angewandten neuen Kriterien hatte Aortenklappenintervention einen Überlebensvorteil (HR 0,50; 95% CI 0,27–0,92; p=0,03). Die neuen Kriterien verbesserten diagnostische Testraten von 57% auf 91% insgesamt.</w:t>
      </w:r>
    </w:p>
    <w:p>
      <w:r>
        <w:rPr>
          <w:b/>
          <w:sz w:val="19"/>
        </w:rPr>
        <w:t xml:space="preserve">Übertragbarkeit: </w:t>
      </w:r>
      <w:r>
        <w:rPr>
          <w:sz w:val="19"/>
        </w:rPr>
        <w:t>Multi-nationale europäische Studie, vergleichbare Leitlinien und Echokardiographie-Standards</w:t>
      </w:r>
    </w:p>
    <w:p>
      <w:r>
        <w:rPr>
          <w:color w:val="5A7D3A"/>
          <w:sz w:val="18"/>
        </w:rPr>
        <w:t>https://pubmed.ncbi.nlm.nih.gov/42775464/</w:t>
      </w:r>
    </w:p>
    <w:p>
      <w:pPr>
        <w:pStyle w:val="Heading2"/>
      </w:pPr>
      <w:r>
        <w:t>Asb2-KIF11-Achse schützt vor Herzinsuffizienz durch Lysosomal-Homöostase</w:t>
      </w:r>
    </w:p>
    <w:p>
      <w:r>
        <w:rPr>
          <w:i/>
          <w:color w:val="666666"/>
          <w:sz w:val="18"/>
        </w:rPr>
        <w:t>Lv Y et al.  ·  Circulation  ·  22.09.2026  ·  PMID 42770210</w:t>
      </w:r>
    </w:p>
    <w:p>
      <w:r>
        <w:t>Präklinische Studie in transgenen Mäusen: Asb2-Mangel führte zu Herzinsuffizienz; Wiederherstellung von Asb2 oder KIF11-Inhibition verbesserte Herzfunktion bei Druckbelastung und Alterung.</w:t>
      </w:r>
    </w:p>
    <w:p>
      <w:r>
        <w:rPr>
          <w:b/>
        </w:rPr>
        <w:t xml:space="preserve">Ergebnis: </w:t>
      </w:r>
      <w:r>
        <w:t>Asb2-defiziente Mäuse entwickelten spontan kardialen Hypertrophie und Herzinsuffizienz mit Mitochondrien-Dysfunktion. Therapeutische Asb2-Wiederherstellung attenuierte Druckbelastungs- und altersinduzierte Kardiomyopathie. Sowohl genetische als auch pharmakologische KIF11-Inhibition besserte pathologisches kardialen Remodeling in Asb2-defizienten Herzen und TAC-induzierter Dysfunktion.</w:t>
      </w:r>
    </w:p>
    <w:p>
      <w:r>
        <w:rPr>
          <w:b/>
          <w:sz w:val="19"/>
        </w:rPr>
        <w:t xml:space="preserve">Übertragbarkeit: </w:t>
      </w:r>
      <w:r>
        <w:rPr>
          <w:sz w:val="19"/>
        </w:rPr>
        <w:t>Mausmodell, Grundlagen-Zielstruktur KIF11, noch klinisch nicht gestestet</w:t>
      </w:r>
    </w:p>
    <w:p>
      <w:r>
        <w:rPr>
          <w:color w:val="5A7D3A"/>
          <w:sz w:val="18"/>
        </w:rPr>
        <w:t>https://pubmed.ncbi.nlm.nih.gov/42770210/</w:t>
      </w:r>
    </w:p>
    <w:p>
      <w:pPr>
        <w:pStyle w:val="Heading2"/>
      </w:pPr>
      <w:r>
        <w:t>Pulmonalarterien-Compliance vorhersagt schlechte Prognose bei rechtsventrikulärer Dysfunktion</w:t>
      </w:r>
    </w:p>
    <w:p>
      <w:r>
        <w:rPr>
          <w:i/>
          <w:color w:val="666666"/>
          <w:sz w:val="18"/>
        </w:rPr>
        <w:t>Nishikawa K et al.  ·  Open Heart  ·  21.09.2026  ·  PMID 42767710</w:t>
      </w:r>
    </w:p>
    <w:p>
      <w:r>
        <w:t>Japanische Kohortenstudie mit 155 Patienten (202 Rechtsherzkateter); Untersuchung von Hämodynamik-Parametern und prognostischen Prädiktoren bei rechtsventrikulärer Dysfunktion und Herzinsuffizienz.</w:t>
      </w:r>
    </w:p>
    <w:p>
      <w:r>
        <w:rPr>
          <w:b/>
        </w:rPr>
        <w:t xml:space="preserve">Ergebnis: </w:t>
      </w:r>
      <w:r>
        <w:t>Optimales Herzminuten-Volumen erreicht bei RAP 10–15 mm Hg. Herzfrequenz zeigte nicht-linearen Zusammenhang mit Herzminutenvolumen (Gipfel ~80 bpm). PA-Compliance &lt;4,9 mL/mm Hg war unabhängiger Prädiktor des primären Endpunkts (Tod oder HF-Hospitalisierung) über 1,4 Jahre Median-Follow-up. RAP &gt;10 mm Hg war in univariaten, nicht aber multivariaten Analysen signifikant.</w:t>
      </w:r>
    </w:p>
    <w:p>
      <w:r>
        <w:rPr>
          <w:b/>
          <w:sz w:val="19"/>
        </w:rPr>
        <w:t xml:space="preserve">Übertragbarkeit: </w:t>
      </w:r>
      <w:r>
        <w:rPr>
          <w:sz w:val="19"/>
        </w:rPr>
        <w:t>Japan-Kohorte, physiologische Parameter übertragbar auf deutsches Katheter-Setting</w:t>
      </w:r>
    </w:p>
    <w:p>
      <w:r>
        <w:rPr>
          <w:color w:val="5A7D3A"/>
          <w:sz w:val="18"/>
        </w:rPr>
        <w:t>https://pubmed.ncbi.nlm.nih.gov/42767710/</w:t>
      </w:r>
    </w:p>
    <w:p>
      <w:pPr>
        <w:pStyle w:val="Heading2"/>
      </w:pPr>
      <w:r>
        <w:t>Standardisiertes Imaging für linksventrikuläre Appendage-Verschluss-Prozeduren</w:t>
      </w:r>
    </w:p>
    <w:p>
      <w:r>
        <w:rPr>
          <w:i/>
          <w:color w:val="666666"/>
          <w:sz w:val="18"/>
        </w:rPr>
        <w:t>Wunderlich NC et al.  ·  EuroIntervention  ·  07.09.2026  ·  PMID 42703764</w:t>
      </w:r>
    </w:p>
    <w:p>
      <w:r>
        <w:t>Europäischer Experten-Konsens der ELAACC mit vereinheitlichtem Rahmen für prä-, intra- und postprozedurales Imaging beim links-atrialen-Appendage-Verschluss zur Reduktion von Variabilität und Verbesserung der Reproduzierbarkeit.</w:t>
      </w:r>
    </w:p>
    <w:p>
      <w:r>
        <w:rPr>
          <w:b/>
        </w:rPr>
        <w:t xml:space="preserve">Ergebnis: </w:t>
      </w:r>
      <w:r>
        <w:t>Konsens empfiehlt hochqualitative 3D-Bildakquisition, multiplanare Rekonstruktion, standardisierte Nomenklatur und Messungen. Prä-prozedural: 3D-Bildgebung und Measurements. Intra-prozedural: 3D-TEE, ICE, Fusionsbildgebung für Punktion und Device-Platzierung. Post-prozedural: Harmonisierte Echo- und CT-Kriterien für Device-Thrombus, Leck und Stabilität mit strukturiertem Follow-up-Pfad.</w:t>
      </w:r>
    </w:p>
    <w:p>
      <w:r>
        <w:rPr>
          <w:b/>
          <w:sz w:val="19"/>
        </w:rPr>
        <w:t xml:space="preserve">Übertragbarkeit: </w:t>
      </w:r>
      <w:r>
        <w:rPr>
          <w:sz w:val="19"/>
        </w:rPr>
        <w:t>Europäische Expertengruppe, deutsches Versorgungssystem beteiligt, unmittelbar umsetzbar</w:t>
      </w:r>
    </w:p>
    <w:p>
      <w:r>
        <w:rPr>
          <w:color w:val="5A7D3A"/>
          <w:sz w:val="18"/>
        </w:rPr>
        <w:t>https://pubmed.ncbi.nlm.nih.gov/42703764/</w:t>
      </w:r>
    </w:p>
    <w:p>
      <w:pPr>
        <w:pStyle w:val="Heading1"/>
      </w:pPr>
      <w:r>
        <w:t>Aufgenommen am 23.09.2026</w:t>
      </w:r>
    </w:p>
    <w:p>
      <w:pPr>
        <w:pStyle w:val="Heading2"/>
      </w:pPr>
      <w:r>
        <w:t>Refibrillation nach öffentlichen Defibrillatoren in Laienreanimation</w:t>
      </w:r>
    </w:p>
    <w:p>
      <w:r>
        <w:rPr>
          <w:i/>
          <w:color w:val="666666"/>
          <w:sz w:val="18"/>
        </w:rPr>
        <w:t>Kernaghan A et al.  ·  Open Heart  ·  22.09.2026  ·  PMID 42772919</w:t>
      </w:r>
    </w:p>
    <w:p>
      <w:r>
        <w:t>Analyse von 1.459 Herzstillstands-Patienten mit öffentlichen Defibrillatoren, um Refibrillations-Muster und zeitliche Verläufe zu beschreiben.</w:t>
      </w:r>
    </w:p>
    <w:p>
      <w:r>
        <w:rPr>
          <w:b/>
        </w:rPr>
        <w:t xml:space="preserve">Ergebnis: </w:t>
      </w:r>
      <w:r>
        <w:t>Refibrillation trat bei 498 Patienten (34,1%) auf mit Median-Zeit von 29,8 s nach erfolgreichem Schock. Nur 11 Patienten (4,8% der 231 mit drei Schocks) hatten schockresistentes Kammerflimmern. Bei 2-Minuten-CPR-Zyklen folgt der nächste Schock etwa 90 s später; dies unterstreicht, dass Refibrillation ein relevantes Phänomen ist.</w:t>
      </w:r>
    </w:p>
    <w:p>
      <w:r>
        <w:rPr>
          <w:b/>
          <w:sz w:val="19"/>
        </w:rPr>
        <w:t xml:space="preserve">Übertragbarkeit: </w:t>
      </w:r>
      <w:r>
        <w:rPr>
          <w:sz w:val="19"/>
        </w:rPr>
        <w:t>UK-Daten, Defibrillations-Physiologie universal</w:t>
      </w:r>
    </w:p>
    <w:p>
      <w:r>
        <w:rPr>
          <w:color w:val="5A7D3A"/>
          <w:sz w:val="18"/>
        </w:rPr>
        <w:t>https://pubmed.ncbi.nlm.nih.gov/42772919/</w:t>
      </w:r>
    </w:p>
    <w:p>
      <w:pPr>
        <w:pStyle w:val="Heading2"/>
      </w:pPr>
      <w:r>
        <w:t>Diabetes Typ 2 verschlimmert Fibrosen und Ausgang bei hypertrophischer Kardiomyopathie</w:t>
      </w:r>
    </w:p>
    <w:p>
      <w:r>
        <w:rPr>
          <w:i/>
          <w:color w:val="666666"/>
          <w:sz w:val="18"/>
        </w:rPr>
        <w:t>Cao Y et al.  ·  Int J Cardiol  ·  22.09.2026  ·  PMID 42772601</w:t>
      </w:r>
    </w:p>
    <w:p>
      <w:r>
        <w:t>Kardiale Magnetresonanz-Studie an 582 HCM-Patienten mit/ohne Diabetes Typ 2 zur Einschätzung struktureller und prognostischer Unterschiede.</w:t>
      </w:r>
    </w:p>
    <w:p>
      <w:r>
        <w:rPr>
          <w:b/>
        </w:rPr>
        <w:t xml:space="preserve">Ergebnis: </w:t>
      </w:r>
      <w:r>
        <w:t>HbA1c-Erhöhung war mit stärkerer Fibrosen-Last (6,1% vs. 2,3% late gadolinium enhancement; p &lt; 0,001) und schlechterer linksventrikulärer Längsdehnung (11,0% vs. 11,9%; p = 0,002) assoziiert. Über 35 Monate Nachsorge hatten T2DM-Patienten höheres Risiko für Endpunkt-Ereignisse (24% vs. 16%; p = 0,015). Mediationsanalyse zeigte 71% Effekt über Fibrosen vermittelt.</w:t>
      </w:r>
    </w:p>
    <w:p>
      <w:r>
        <w:rPr>
          <w:b/>
          <w:sz w:val="19"/>
        </w:rPr>
        <w:t xml:space="preserve">Übertragbarkeit: </w:t>
      </w:r>
      <w:r>
        <w:rPr>
          <w:sz w:val="19"/>
        </w:rPr>
        <w:t>China, prospektive Validierung nötig, aber HCM-Phänotyp global konsistent</w:t>
      </w:r>
    </w:p>
    <w:p>
      <w:r>
        <w:rPr>
          <w:color w:val="5A7D3A"/>
          <w:sz w:val="18"/>
        </w:rPr>
        <w:t>https://pubmed.ncbi.nlm.nih.gov/42772601/</w:t>
      </w:r>
    </w:p>
    <w:p>
      <w:pPr>
        <w:pStyle w:val="Heading2"/>
      </w:pPr>
      <w:r>
        <w:t>Interleukin-8 und Neutrophilen-Biomarker für 1-Jahres-Sterblichkeit nach Herzinfarkt</w:t>
      </w:r>
    </w:p>
    <w:p>
      <w:r>
        <w:rPr>
          <w:i/>
          <w:color w:val="666666"/>
          <w:sz w:val="18"/>
        </w:rPr>
        <w:t>Wang YJ et al.  ·  Clin Res Cardiol  ·  22.09.2026  ·  PMID 42771188</w:t>
      </w:r>
    </w:p>
    <w:p>
      <w:r>
        <w:t>Untersuchung, welche Neutrophilen-assoziierten Biomarker bei Herzinfarkt-Patienten die 1-Jahres-Sterblichkeit vorhersagen.</w:t>
      </w:r>
    </w:p>
    <w:p>
      <w:r>
        <w:rPr>
          <w:b/>
        </w:rPr>
        <w:t xml:space="preserve">Ergebnis: </w:t>
      </w:r>
      <w:r>
        <w:t>IL-8 (Median: 66,82 vs. 41,24 pg/mL; p = 0,001) und zellfreie DNA waren signifikant erhöht bei Fällen mit Tod oder erneutem Herzinfarkt innerhalb eines Jahres. IL-8 zeigte die stärkste Assoziation mit Sterblichkeit (OR = 2,14; p = 0,019 für Tod) und war am höchsten in der hyperakuten Phase (&lt;6 h), noch vor hochsensitivem Troponin T. Diese Marker könnten die frühe Risikostratifizierung verbessern.</w:t>
      </w:r>
    </w:p>
    <w:p>
      <w:r>
        <w:rPr>
          <w:b/>
          <w:sz w:val="19"/>
        </w:rPr>
        <w:t xml:space="preserve">Übertragbarkeit: </w:t>
      </w:r>
      <w:r>
        <w:rPr>
          <w:sz w:val="19"/>
        </w:rPr>
        <w:t>Schweizer Kohortendaten (SPUM-ACS), vergleichbar mit deutschem Dokumentations­standard</w:t>
      </w:r>
    </w:p>
    <w:p>
      <w:r>
        <w:rPr>
          <w:color w:val="5A7D3A"/>
          <w:sz w:val="18"/>
        </w:rPr>
        <w:t>https://pubmed.ncbi.nlm.nih.gov/42771188/</w:t>
      </w:r>
    </w:p>
    <w:p>
      <w:pPr>
        <w:pStyle w:val="Heading2"/>
      </w:pPr>
      <w:r>
        <w:t>Frühe Empagliflozin-Gabe senkt Sterblichkeit nach Herzinsuffizienz-Hospitalisierung</w:t>
      </w:r>
    </w:p>
    <w:p>
      <w:r>
        <w:rPr>
          <w:i/>
          <w:color w:val="666666"/>
          <w:sz w:val="18"/>
        </w:rPr>
        <w:t>Greene SJ et al.  ·  ESC Heart Fail  ·  22.09.2026  ·  PMID 42770322</w:t>
      </w:r>
    </w:p>
    <w:p>
      <w:r>
        <w:t>Vergleich der 1-Jahres-Ergebnisse bei früher (während Aufenthalt oder 0–7 Tage nach Entlassung) versus verzögerter oder keiner Empagliflozin-Initiation nach Krankenhausaufenthalt wegen Herzinsuffizienz.</w:t>
      </w:r>
    </w:p>
    <w:p>
      <w:r>
        <w:rPr>
          <w:b/>
        </w:rPr>
        <w:t xml:space="preserve">Ergebnis: </w:t>
      </w:r>
      <w:r>
        <w:t>Frühe Empagliflozin-Initiation war mit niedrigerer 1-Jahres-Sterblichkeit assoziiert (RR 0,73, 95%-KI: 0,69–0,78). Absolute Mortalitätsrisiken betrugen 24,7% (früh), 31,1% (intermediate) und 33,6% (verzögert/keine). Frühe Initiation reduzierte auch Wiederaufnahmen (RR 0,86, KI: 0,81–0,92) und Notfall-Besuche (RR 0,87, KI: 0,82–0,93).</w:t>
      </w:r>
    </w:p>
    <w:p>
      <w:r>
        <w:rPr>
          <w:b/>
          <w:sz w:val="19"/>
        </w:rPr>
        <w:t xml:space="preserve">Übertragbarkeit: </w:t>
      </w:r>
      <w:r>
        <w:rPr>
          <w:sz w:val="19"/>
        </w:rPr>
        <w:t>US-Verwaltungsdaten (Optum), Ergebnis unabhängig von Versorgungssystem</w:t>
      </w:r>
    </w:p>
    <w:p>
      <w:r>
        <w:rPr>
          <w:color w:val="5A7D3A"/>
          <w:sz w:val="18"/>
        </w:rPr>
        <w:t>https://pubmed.ncbi.nlm.nih.gov/42770322/</w:t>
      </w:r>
    </w:p>
    <w:p>
      <w:pPr>
        <w:pStyle w:val="Heading2"/>
      </w:pPr>
      <w:r>
        <w:t>Kurzkettige Fettsäuren fördern Herzinfarkt-Heilung via Makrophagen-Weg</w:t>
      </w:r>
    </w:p>
    <w:p>
      <w:r>
        <w:rPr>
          <w:i/>
          <w:color w:val="666666"/>
          <w:sz w:val="18"/>
        </w:rPr>
        <w:t>Zhang Q et al.  ·  Basic Res Cardiol  ·  21.09.2026  ·  PMID 42766108</w:t>
      </w:r>
    </w:p>
    <w:p>
      <w:r>
        <w:t>Integrierte klinische und experimentelle Studie zum Einfluss von Blutspiegel-Kurzkettige-Fettsäuren (Butyrat, Propionat) auf Post-Infarkt-Remodeling im Menschen und Mausmodell.</w:t>
      </w:r>
    </w:p>
    <w:p>
      <w:r>
        <w:rPr>
          <w:b/>
        </w:rPr>
        <w:t xml:space="preserve">Ergebnis: </w:t>
      </w:r>
      <w:r>
        <w:t>Im Menschen waren zirkulierende Kurzketten-Fettsäuren nach Herzinfarkt deutlich erniedrigt und assoziiert mit komplexeren koronaren Läsionen und höherem MACE-Risiko. Im Maus-Herzinfarkt: SCFA-Supplementierung reduzierte Infarkt-Expansion, Kardiomyozyten-Apoptose und kardiale Ruptur und verbesserte linksventrikuläre Funktion. Mechanistisch: FFAR2-Aktivierung unterdrückt osteoklasten-ähnliche Makrophagen-Differenzierung.</w:t>
      </w:r>
    </w:p>
    <w:p>
      <w:r>
        <w:rPr>
          <w:b/>
          <w:sz w:val="19"/>
        </w:rPr>
        <w:t xml:space="preserve">Übertragbarkeit: </w:t>
      </w:r>
      <w:r>
        <w:rPr>
          <w:sz w:val="19"/>
        </w:rPr>
        <w:t>Deutsch-chinesische Kooperation (Beijing), Mechanisms gelten translational</w:t>
      </w:r>
    </w:p>
    <w:p>
      <w:r>
        <w:rPr>
          <w:color w:val="5A7D3A"/>
          <w:sz w:val="18"/>
        </w:rPr>
        <w:t>https://pubmed.ncbi.nlm.nih.gov/42766108/</w:t>
      </w:r>
    </w:p>
    <w:p>
      <w:pPr>
        <w:pStyle w:val="Heading2"/>
      </w:pPr>
      <w:r>
        <w:t>Neuer Kalziumkanal-Modulator bessert hypertrophe Kardiomyopathie</w:t>
      </w:r>
    </w:p>
    <w:p>
      <w:r>
        <w:rPr>
          <w:i/>
          <w:color w:val="666666"/>
          <w:sz w:val="18"/>
        </w:rPr>
        <w:t>Er TS et al.  ·  Circ Res  ·  18.09.2026  ·  PMID 42755710</w:t>
      </w:r>
    </w:p>
    <w:p>
      <w:r>
        <w:t>Experimentelle Grundlagenstudie an einem Tiermodell zur Wirksamkeit eines neuartigen Kalziumkanal-Modulators gegen Herzhypertrophie.</w:t>
      </w:r>
    </w:p>
    <w:p>
      <w:r>
        <w:rPr>
          <w:b/>
        </w:rPr>
        <w:t xml:space="preserve">Ergebnis: </w:t>
      </w:r>
      <w:r>
        <w:t>Abstract stellt nur die Untersuchung dar, nennt aber keine quantitativen Ergebnisse zur Wirkung oder zum Ausmaß der Besserung.</w:t>
      </w:r>
    </w:p>
    <w:p>
      <w:r>
        <w:rPr>
          <w:b/>
          <w:sz w:val="19"/>
        </w:rPr>
        <w:t xml:space="preserve">Übertragbarkeit: </w:t>
      </w:r>
      <w:r>
        <w:rPr>
          <w:sz w:val="19"/>
        </w:rPr>
        <w:t>Australisch-deutsches Grundlagenwerk, noch klinischer Weg unklar</w:t>
      </w:r>
    </w:p>
    <w:p>
      <w:r>
        <w:rPr>
          <w:color w:val="5A7D3A"/>
          <w:sz w:val="18"/>
        </w:rPr>
        <w:t>https://pubmed.ncbi.nlm.nih.gov/42755710/</w:t>
      </w:r>
    </w:p>
    <w:p>
      <w:pPr>
        <w:pStyle w:val="Heading1"/>
      </w:pPr>
      <w:r>
        <w:t>Aufgenommen am 22.09.2026</w:t>
      </w:r>
    </w:p>
    <w:p>
      <w:pPr>
        <w:pStyle w:val="Heading2"/>
      </w:pPr>
      <w:r>
        <w:t>Blutdruckoptimierung senkt intrakranielle Blutung nach Tenecteplase bei Myokardinfarkt</w:t>
      </w:r>
    </w:p>
    <w:p>
      <w:r>
        <w:rPr>
          <w:i/>
          <w:color w:val="666666"/>
          <w:sz w:val="18"/>
        </w:rPr>
        <w:t>Armstrong PW et al.  ·  Eur Heart J  ·  21.09.2026  ·  PMID 42766418</w:t>
      </w:r>
    </w:p>
    <w:p>
      <w:r>
        <w:t>Poolanalyse von 15.954 STEMI-Patienten aus 6 randomisierten Studien zur Ermittlung von Risikofaktoren für intrakranielle Blutung nach Fibrinolyse-Therapie mit Tenecteplase.</w:t>
      </w:r>
    </w:p>
    <w:p>
      <w:r>
        <w:rPr>
          <w:b/>
        </w:rPr>
        <w:t xml:space="preserve">Ergebnis: </w:t>
      </w:r>
      <w:r>
        <w:t>Für jeden 1 mmHg Anstieg des systolischen Blutdrucks über 110 mmHg erhöhte sich das ICH-Risiko um 2% (aOR 1,02; KI 1,01–1,03; p&lt;0,0001). Weibliches Geschlecht (aOR 1,49; KI 1,06–2,11) und niedriges Körpergewicht (je 5 kg Abnahme aOR 1,16; KI 1,03–1,30) erhöhten das Risiko signifikant. Ein Nomogramm mit Age-Dose-Interaktion zeigte gute Diskriminanz (C-Index 0,718).</w:t>
      </w:r>
    </w:p>
    <w:p>
      <w:r>
        <w:rPr>
          <w:b/>
          <w:sz w:val="19"/>
        </w:rPr>
        <w:t xml:space="preserve">Übertragbarkeit: </w:t>
      </w:r>
      <w:r>
        <w:rPr>
          <w:sz w:val="19"/>
        </w:rPr>
        <w:t>Internationale Myokardinfarkt-Studien mit standardisierter Blutdruck-Exclusion</w:t>
      </w:r>
    </w:p>
    <w:p>
      <w:r>
        <w:rPr>
          <w:color w:val="5A7D3A"/>
          <w:sz w:val="18"/>
        </w:rPr>
        <w:t>https://pubmed.ncbi.nlm.nih.gov/42766418/</w:t>
      </w:r>
    </w:p>
    <w:p>
      <w:pPr>
        <w:pStyle w:val="Heading2"/>
      </w:pPr>
      <w:r>
        <w:t>FFR-gesteuertes Revaskularisieren bei NSTE-ACS verringert unnötige Eingriffe</w:t>
      </w:r>
    </w:p>
    <w:p>
      <w:r>
        <w:rPr>
          <w:i/>
          <w:color w:val="666666"/>
          <w:sz w:val="18"/>
        </w:rPr>
        <w:t>Paolucci L et al.  ·  EuroIntervention  ·  21.09.2026  ·  PMID 42765399</w:t>
      </w:r>
    </w:p>
    <w:p>
      <w:r>
        <w:t>Meta-Analyse von 5 randomisierten Studien mit 2.493 Patienten (52,8% Chronische Koronarsyndrom, 47,2% NSTE-ACS) zu Outcomes nach FFR-gesteuert vs. angiographisch-gesteuerter PCI.</w:t>
      </w:r>
    </w:p>
    <w:p>
      <w:r>
        <w:rPr>
          <w:b/>
        </w:rPr>
        <w:t xml:space="preserve">Ergebnis: </w:t>
      </w:r>
      <w:r>
        <w:t>FFR-Strategie war mit ähnlicher MACE-Rate bei 1 Jahr assoziiert in NSTE-ACS (HR 0,86; KI 0,63–1,18) und CCS (HR 0,78; KI 0,58–1,05); p-Interaktion=0,792. Keine erhöhte MACE-Rate durch Lesion-Deferral. Befund über 5 Jahre bestätigt.</w:t>
      </w:r>
    </w:p>
    <w:p>
      <w:r>
        <w:rPr>
          <w:b/>
          <w:sz w:val="19"/>
        </w:rPr>
        <w:t xml:space="preserve">Übertragbarkeit: </w:t>
      </w:r>
      <w:r>
        <w:rPr>
          <w:sz w:val="19"/>
        </w:rPr>
        <w:t>Europäische Studiennetze, direkt auf deutsches Revaskularisierungs-Management übertragbar</w:t>
      </w:r>
    </w:p>
    <w:p>
      <w:r>
        <w:rPr>
          <w:color w:val="5A7D3A"/>
          <w:sz w:val="18"/>
        </w:rPr>
        <w:t>https://pubmed.ncbi.nlm.nih.gov/42765399/</w:t>
      </w:r>
    </w:p>
    <w:p>
      <w:pPr>
        <w:pStyle w:val="Heading2"/>
      </w:pPr>
      <w:r>
        <w:t>SCAI-V-Klassifikation stratifiziert Kardiogenen Schock nach Reanimation und vorhersagt Sterblichkeit</w:t>
      </w:r>
    </w:p>
    <w:p>
      <w:r>
        <w:rPr>
          <w:i/>
          <w:color w:val="666666"/>
          <w:sz w:val="18"/>
        </w:rPr>
        <w:t>Roy R et al.  ·  EuroIntervention  ·  21.09.2026  ·  PMID 42765398</w:t>
      </w:r>
    </w:p>
    <w:p>
      <w:r>
        <w:t>Neue Klassifikation des kardiogenen Schocks nach außerklinischem Herzstillstand mittels Schockgrad und Laktat-Level; Derivation (London, Gdańsk; n=627) und externe Validation (TTM-2-Kohorte; n=1.781).</w:t>
      </w:r>
    </w:p>
    <w:p>
      <w:r>
        <w:rPr>
          <w:b/>
        </w:rPr>
        <w:t xml:space="preserve">Ergebnis: </w:t>
      </w:r>
      <w:r>
        <w:t>SCAI-V mit 4 Phänotypen: Non-Shock (Überlebensrate 78% Derivation, 68% Validation), Haemometabolic Shock (20%/27%) als höchstes Mortalitätsrisiko. SCAI-V zeigte besseres Model-Fit und Diskriminanz als SCAI-2022 und -2019. Alle-Ursachen-Mortalität p&lt;0,001.</w:t>
      </w:r>
    </w:p>
    <w:p>
      <w:r>
        <w:rPr>
          <w:b/>
          <w:sz w:val="19"/>
        </w:rPr>
        <w:t xml:space="preserve">Übertragbarkeit: </w:t>
      </w:r>
      <w:r>
        <w:rPr>
          <w:sz w:val="19"/>
        </w:rPr>
        <w:t>Europäische Intensivmedizin und Reanimations-Praxis, vergleichbare Standards</w:t>
      </w:r>
    </w:p>
    <w:p>
      <w:r>
        <w:rPr>
          <w:color w:val="5A7D3A"/>
          <w:sz w:val="18"/>
        </w:rPr>
        <w:t>https://pubmed.ncbi.nlm.nih.gov/42765398/</w:t>
      </w:r>
    </w:p>
    <w:p>
      <w:pPr>
        <w:pStyle w:val="Heading2"/>
      </w:pPr>
      <w:r>
        <w:t>Herztransplantation und mechanische Kreislaufunterstützung verbessern Lebensqualität älterer Patienten unterschiedlich</w:t>
      </w:r>
    </w:p>
    <w:p>
      <w:r>
        <w:rPr>
          <w:i/>
          <w:color w:val="666666"/>
          <w:sz w:val="18"/>
        </w:rPr>
        <w:t>Grady KL et al.  ·  Circ Heart Fail  ·  21.09.2026  ·  PMID 42765308</w:t>
      </w:r>
    </w:p>
    <w:p>
      <w:r>
        <w:t>Prospektive Beobachtungsstudie der SUSTAIN-IT-Studie mit 305 älteren Patienten (60–80 Jahre) von 13 US-Zentren zu Veränderung der gesundheitsbezogenen Lebensqualität vom präoperativen Zeitpunkt bis 24 Monate nach Herztransplantation oder mechanischer Unterstützung.</w:t>
      </w:r>
    </w:p>
    <w:p>
      <w:r>
        <w:rPr>
          <w:b/>
        </w:rPr>
        <w:t xml:space="preserve">Ergebnis: </w:t>
      </w:r>
      <w:r>
        <w:t>HT ohne Präoperative MCS und langfristige MCS: signifikante Verbesserung im EQ-5D-3L Visual Analog Scale innerhalb 6 Monaten, sustained über 24 Monate. Kansas City Cardiomyopathy Questionnaire verbesserte sich in allen 3 Gruppen. MCS zeigte Reduktion von -11,2 Punkten (KI -17,3 bis -5,1; p&lt;0,001) vs. HT ohne MCS.</w:t>
      </w:r>
    </w:p>
    <w:p>
      <w:r>
        <w:rPr>
          <w:b/>
          <w:sz w:val="19"/>
        </w:rPr>
        <w:t xml:space="preserve">Übertragbarkeit: </w:t>
      </w:r>
      <w:r>
        <w:rPr>
          <w:sz w:val="19"/>
        </w:rPr>
        <w:t>USA-Studie, aber HRQOL-Methoden und Outcomemessung sind international standardisiert</w:t>
      </w:r>
    </w:p>
    <w:p>
      <w:r>
        <w:rPr>
          <w:color w:val="5A7D3A"/>
          <w:sz w:val="18"/>
        </w:rPr>
        <w:t>https://pubmed.ncbi.nlm.nih.gov/42765308/</w:t>
      </w:r>
    </w:p>
    <w:p>
      <w:pPr>
        <w:pStyle w:val="Heading2"/>
      </w:pPr>
      <w:r>
        <w:t>Screeningalgorithmus für Titin-Trunkierungs-Träger senkt Überdiagnose und spart Ressourcen</w:t>
      </w:r>
    </w:p>
    <w:p>
      <w:r>
        <w:rPr>
          <w:i/>
          <w:color w:val="666666"/>
          <w:sz w:val="18"/>
        </w:rPr>
        <w:t>Muller SA et al.  ·  Circ Heart Fail  ·  21.09.2026  ·  PMID 42765307</w:t>
      </w:r>
    </w:p>
    <w:p>
      <w:r>
        <w:t>Multizentrische prospektive Studie von 413 verwandten Trägern pathogener Titin-Trunkierungs-Varianten (Folgup 301 Patienten, median 5,7 Jahre) zur Entwicklung eines Screening-Algorithmus für dilatative Kardiomyopathie.</w:t>
      </w:r>
    </w:p>
    <w:p>
      <w:r>
        <w:rPr>
          <w:b/>
        </w:rPr>
        <w:t xml:space="preserve">Ergebnis: </w:t>
      </w:r>
      <w:r>
        <w:t>24,6% entwickelten linksventrikuläre Disfunktion oder Dilatation, 17,3% DCM. 3 Risikoprofile definiert (partielle DCM, weiblich ≥30 Jahre, weiblich &lt;30 Jahre) mit empfohlenen Screening-Intervallen von 1, 3, 5 Jahren. 5,3% erlebten Major Adverse Cardiac Events nach DCM-Diagnose.</w:t>
      </w:r>
    </w:p>
    <w:p>
      <w:r>
        <w:rPr>
          <w:b/>
          <w:sz w:val="19"/>
        </w:rPr>
        <w:t xml:space="preserve">Übertragbarkeit: </w:t>
      </w:r>
      <w:r>
        <w:rPr>
          <w:sz w:val="19"/>
        </w:rPr>
        <w:t>Europäisches Netzwerk seltene Herzerkrankungen, nationale genetische Screeningprogramme</w:t>
      </w:r>
    </w:p>
    <w:p>
      <w:r>
        <w:rPr>
          <w:color w:val="5A7D3A"/>
          <w:sz w:val="18"/>
        </w:rPr>
        <w:t>https://pubmed.ncbi.nlm.nih.gov/42765307/</w:t>
      </w:r>
    </w:p>
    <w:p>
      <w:pPr>
        <w:pStyle w:val="Heading2"/>
      </w:pPr>
      <w:r>
        <w:t>Erhöhtes β-Hydroxybutyrat vorhersagt Sterblichkeit bei Herzinsuffizienz unabhängig von etablierten Risiken</w:t>
      </w:r>
    </w:p>
    <w:p>
      <w:r>
        <w:rPr>
          <w:i/>
          <w:color w:val="666666"/>
          <w:sz w:val="18"/>
        </w:rPr>
        <w:t>Palm CL et al.  ·  ESC Heart Fail  ·  27.08.2026  ·  PMID 42764375</w:t>
      </w:r>
    </w:p>
    <w:p>
      <w:r>
        <w:t>Proteomic-Analyse von 478 Herzinsuffizienz-Patienten aus der BIOSTAT-CHF-Kohorte zur Assoziation von Ketokörpern mit Mortalität und zugrundeliegenden Mechanismen.</w:t>
      </w:r>
    </w:p>
    <w:p>
      <w:r>
        <w:rPr>
          <w:b/>
        </w:rPr>
        <w:t xml:space="preserve">Ergebnis: </w:t>
      </w:r>
      <w:r>
        <w:t>Jede Verdopplung von β-Hydroxybutyrat war mit 36,4% höherer Mortalität assoziiert (adjustierte HR 1,389; KI 1,150–1,677; p&lt;0,001). Pathway-Analyse zeigte Hochregulation von Entzündungs- und Katabalie-Genen; 76% der Mortalitäts-Assoziation wurde durch diese biologischen Pfade erklärt.</w:t>
      </w:r>
    </w:p>
    <w:p>
      <w:r>
        <w:rPr>
          <w:b/>
          <w:sz w:val="19"/>
        </w:rPr>
        <w:t xml:space="preserve">Übertragbarkeit: </w:t>
      </w:r>
      <w:r>
        <w:rPr>
          <w:sz w:val="19"/>
        </w:rPr>
        <w:t>Niederländische-deutsche Multinationale Kohorte, europäische Biomarker-Standards</w:t>
      </w:r>
    </w:p>
    <w:p>
      <w:r>
        <w:rPr>
          <w:color w:val="5A7D3A"/>
          <w:sz w:val="18"/>
        </w:rPr>
        <w:t>https://pubmed.ncbi.nlm.nih.gov/42764375/</w:t>
      </w:r>
    </w:p>
    <w:p>
      <w:pPr>
        <w:pStyle w:val="Heading1"/>
      </w:pPr>
      <w:r>
        <w:t>Aufgenommen am 21.09.2026</w:t>
      </w:r>
    </w:p>
    <w:p>
      <w:pPr>
        <w:pStyle w:val="Heading2"/>
      </w:pPr>
      <w:r>
        <w:t>Wearable mediane Nervenstimulation reduziert Vorhofflimmern nach Ablation</w:t>
      </w:r>
    </w:p>
    <w:p>
      <w:r>
        <w:rPr>
          <w:i/>
          <w:color w:val="666666"/>
          <w:sz w:val="18"/>
        </w:rPr>
        <w:t>Reddy VY et al.  ·  Heart Rhythm  ·  20.09.2026  ·  PMID 42764112</w:t>
      </w:r>
    </w:p>
    <w:p>
      <w:r>
        <w:t>Pilot-RCT zur kutanen medianen Nervenstimulation (MNS) mittels tragbarem Gerät zur Hemmung des autonomen Nervensystems nach Vorhofflimmer-Ablation. 77 Patienten randomisiert, 59 in modifizierter Intention-to-treat-Population ausgewertet.</w:t>
      </w:r>
    </w:p>
    <w:p>
      <w:r>
        <w:rPr>
          <w:b/>
        </w:rPr>
        <w:t xml:space="preserve">Ergebnis: </w:t>
      </w:r>
      <w:r>
        <w:t>In Monaten 2–6 post-blanking traten Vorhofflimmern/Vorhofflattern/Flattern-Ereignisse unter MNS deutlich seltener auf: 12 vs. 243 Events (Rate Ratio 17,93, 95%-KI 10,04–32,0, p&lt;0,0001). Nach Ausschluss eines Hochlast-Ausreißers: 12 vs. 28 Events (RR 2,17, 95%-KI 1,10–4,27, p=0,025). Arrhythmie-Freiheit nach 6 Monaten: 90,0% (MNS) vs. 80,8% (Sham), Hazard Ratio 2,15 (95%-KI 0,42–11,1, p=0,36). Keine ernsthafte unerwünschte Ereignisse gemeldet.</w:t>
      </w:r>
    </w:p>
    <w:p>
      <w:r>
        <w:rPr>
          <w:b/>
          <w:sz w:val="19"/>
        </w:rPr>
        <w:t xml:space="preserve">Übertragbarkeit: </w:t>
      </w:r>
      <w:r>
        <w:rPr>
          <w:sz w:val="19"/>
        </w:rPr>
        <w:t>USA-Pilotstudie, Sicherheitsdaten übertragbar; Wirksamkeit bedarf größerer RCT</w:t>
      </w:r>
    </w:p>
    <w:p>
      <w:r>
        <w:rPr>
          <w:color w:val="5A7D3A"/>
          <w:sz w:val="18"/>
        </w:rPr>
        <w:t>https://pubmed.ncbi.nlm.nih.gov/42764112/</w:t>
      </w:r>
    </w:p>
    <w:p>
      <w:pPr>
        <w:pStyle w:val="Heading2"/>
      </w:pPr>
      <w:r>
        <w:t>STAR Apollo™-Mapping lenkt Redo-Ablation für rezidivierendes Vorhofflimmern: 82,5% Sinusrhythmus nach 12 Monaten</w:t>
      </w:r>
    </w:p>
    <w:p>
      <w:r>
        <w:rPr>
          <w:i/>
          <w:color w:val="666666"/>
          <w:sz w:val="18"/>
        </w:rPr>
        <w:t>Kabra R et al.  ·  Heart Rhythm  ·  20.09.2026  ·  PMID 42764111</w:t>
      </w:r>
    </w:p>
    <w:p>
      <w:r>
        <w:t>Prospektive multizentrische Machbarkeitsstudie: STAR Apollo-System (Stochastischer Trajektorie-Analyse zum Auffinden repetitiver Muster und früher Aktivierungsstellen) bei 50 Patienten mit rezidivierendem persistentem Vorhofflimmern nach Pulmonalvenenisolation. Follow-up 12 Monate.</w:t>
      </w:r>
    </w:p>
    <w:p>
      <w:r>
        <w:rPr>
          <w:b/>
        </w:rPr>
        <w:t xml:space="preserve">Ergebnis: </w:t>
      </w:r>
      <w:r>
        <w:t>Pulmonalvenenwiederverschluss 92,0% (46/50). Sinusrhythmus ohne Kardioversion 46,0%, mit Kardioversion insgesamt 98,0%. Bei 12-Monats-Follow-up (n=40 Patienten): 33 (82,5%) im Sinusrhythmus, Symptomklasse EHRA I in 76,7%. Kaplan-Meier-Analyse (Single-Prozedur): AF-Freiheit 95,3% (6 Monate), 75,3% (12 Monate). Eine Perikarderguss-Komplikation (2,0%).</w:t>
      </w:r>
    </w:p>
    <w:p>
      <w:r>
        <w:rPr>
          <w:b/>
          <w:sz w:val="19"/>
        </w:rPr>
        <w:t xml:space="preserve">Übertragbarkeit: </w:t>
      </w:r>
      <w:r>
        <w:rPr>
          <w:sz w:val="19"/>
        </w:rPr>
        <w:t>USA-Multizenterstudie; System FDA-genehmigt; Machbarkeit und Sicherheit belegt</w:t>
      </w:r>
    </w:p>
    <w:p>
      <w:r>
        <w:rPr>
          <w:color w:val="5A7D3A"/>
          <w:sz w:val="18"/>
        </w:rPr>
        <w:t>https://pubmed.ncbi.nlm.nih.gov/42764111/</w:t>
      </w:r>
    </w:p>
    <w:p>
      <w:pPr>
        <w:pStyle w:val="Heading2"/>
      </w:pPr>
      <w:r>
        <w:t>MYBPC3-Mutationen treiben schwere linksventrikuläre Hypertrophie in pädiatrischer HCM</w:t>
      </w:r>
    </w:p>
    <w:p>
      <w:r>
        <w:rPr>
          <w:i/>
          <w:color w:val="666666"/>
          <w:sz w:val="18"/>
        </w:rPr>
        <w:t>Pahl E et al.  ·  JACC Heart Fail  ·  17.09.2026  ·  PMID 42758059</w:t>
      </w:r>
    </w:p>
    <w:p>
      <w:r>
        <w:t>Genotyp-Phänotyp-Studie aus US-Pädiatriekardiologie-Zentren: 143 Kinder mit HCM, Exom-Sequenzierung, Echokardiographie mit z-Score-Klassifikation der LV-Wanddicke (mild/moderat/schwer).</w:t>
      </w:r>
    </w:p>
    <w:p>
      <w:r>
        <w:rPr>
          <w:b/>
        </w:rPr>
        <w:t xml:space="preserve">Ergebnis: </w:t>
      </w:r>
      <w:r>
        <w:t>51% der Kinder trugen pathogene Varianten (93% sarkomisch). Schwere LVH (28%, n=40) korrelierte mit jüngeres Alter (6,4 vs. 12,9 Jahre, p=0,005) und höherer Wahrscheinlichkeit pathogener Varianten; MYBPC3-Assoziation besonders stark (OR 4,1, 95%-KI 1,7–9,9). Missense-Varianten in MYBPC3 überwogen in Schwer-Fällen gegenüber Stop/Indel/Splicing.</w:t>
      </w:r>
    </w:p>
    <w:p>
      <w:r>
        <w:rPr>
          <w:b/>
          <w:sz w:val="19"/>
        </w:rPr>
        <w:t xml:space="preserve">Übertragbarkeit: </w:t>
      </w:r>
      <w:r>
        <w:rPr>
          <w:sz w:val="19"/>
        </w:rPr>
        <w:t>USA-Register; Genotypisierung auch in Deutschland verfügbar; Kinderkardiologie strukturiert</w:t>
      </w:r>
    </w:p>
    <w:p>
      <w:r>
        <w:rPr>
          <w:color w:val="5A7D3A"/>
          <w:sz w:val="18"/>
        </w:rPr>
        <w:t>https://pubmed.ncbi.nlm.nih.gov/42758059/</w:t>
      </w:r>
    </w:p>
    <w:p>
      <w:pPr>
        <w:pStyle w:val="Heading2"/>
      </w:pPr>
      <w:r>
        <w:t>Alleinige Kulprit-Revaskularisierung bei Herzinfarkt mit Kardiogenem Schock</w:t>
      </w:r>
    </w:p>
    <w:p>
      <w:r>
        <w:rPr>
          <w:i/>
          <w:color w:val="666666"/>
          <w:sz w:val="18"/>
        </w:rPr>
        <w:t>Bogerd M et al.  ·  J Am Heart Assoc  ·  18.09.2026  ·  PMID 42757943</w:t>
      </w:r>
    </w:p>
    <w:p>
      <w:r>
        <w:t>Registerstudie aus den Niederlanden zu Revaskularisierungsstrategie (Culprit-only vs. Multivessel) bei akutem Myokardinfarkt mit kardiogenem Schock.</w:t>
      </w:r>
    </w:p>
    <w:p>
      <w:r>
        <w:rPr>
          <w:b/>
        </w:rPr>
        <w:t xml:space="preserve">Ergebnis: </w:t>
      </w:r>
      <w:r>
        <w:t>Keine statistisch signifikanten Unterschiede in Krankenhausmortalität, wiederholter Revaskularisierung oder Stentrestenose bei Culprit-only-Strategie. Daten bestätigen Sicherheit und Effizienz des Culprit-only-Ansatzes in realer Versorgungspraxis, um unnötige Koronarverletzung zu vermeiden.</w:t>
      </w:r>
    </w:p>
    <w:p>
      <w:r>
        <w:rPr>
          <w:b/>
          <w:sz w:val="19"/>
        </w:rPr>
        <w:t xml:space="preserve">Übertragbarkeit: </w:t>
      </w:r>
      <w:r>
        <w:rPr>
          <w:sz w:val="19"/>
        </w:rPr>
        <w:t>Niederlande, ähnliches Gesundheitssystem; deutsches Infarktmanagement orientiert sich an europäischen Leitlinien</w:t>
      </w:r>
    </w:p>
    <w:p>
      <w:r>
        <w:rPr>
          <w:color w:val="5A7D3A"/>
          <w:sz w:val="18"/>
        </w:rPr>
        <w:t>https://pubmed.ncbi.nlm.nih.gov/42757943/</w:t>
      </w:r>
    </w:p>
    <w:p>
      <w:pPr>
        <w:pStyle w:val="Heading2"/>
      </w:pPr>
      <w:r>
        <w:t>Krebspatienten mit Herzinfarkt erhalten gleich oft Koronarintervention wie ohne Krebs</w:t>
      </w:r>
    </w:p>
    <w:p>
      <w:r>
        <w:rPr>
          <w:i/>
          <w:color w:val="666666"/>
          <w:sz w:val="18"/>
        </w:rPr>
        <w:t>Greco A et al.  ·  Int J Cardiol  ·  17.09.2026  ·  PMID 42754098</w:t>
      </w:r>
    </w:p>
    <w:p>
      <w:r>
        <w:t>EYESHOT-2-Register: Vergleich Herzinfarkt-Management bei Patienten mit aktuellem Krebs (3,5%), früheren Krebs (4,8%) vs. ohne Krebs; 2797 Patienten in italienischen Herzkliniken.</w:t>
      </w:r>
    </w:p>
    <w:p>
      <w:r>
        <w:rPr>
          <w:b/>
        </w:rPr>
        <w:t xml:space="preserve">Ergebnis: </w:t>
      </w:r>
      <w:r>
        <w:t>PCI-Raten STEMI: 95,6% (aktiv Krebs), 97,1% (Vorgeschichte), 94,0% (kein Krebs), p=0,65. NSTEMI: 69,8%, 73,8%, 73,3%, p=0,84. Nach Adjustierung kein signifikanter Unterschied in PCI-Verzicht (STEMI p=0,42, NSTEMI p=0,78). Blutungskomplikationen in NSTEMI erhöht bei Krebs (5,7 % und 4,6% vs. 1,7%, p=0,03).</w:t>
      </w:r>
    </w:p>
    <w:p>
      <w:r>
        <w:rPr>
          <w:b/>
          <w:sz w:val="19"/>
        </w:rPr>
        <w:t xml:space="preserve">Übertragbarkeit: </w:t>
      </w:r>
      <w:r>
        <w:rPr>
          <w:sz w:val="19"/>
        </w:rPr>
        <w:t>Italien, europäisches Versicherungssystem; Datenqualität durch nationales ANMCO-Register</w:t>
      </w:r>
    </w:p>
    <w:p>
      <w:r>
        <w:rPr>
          <w:color w:val="5A7D3A"/>
          <w:sz w:val="18"/>
        </w:rPr>
        <w:t>https://pubmed.ncbi.nlm.nih.gov/42754098/</w:t>
      </w:r>
    </w:p>
    <w:p>
      <w:pPr>
        <w:pStyle w:val="Heading2"/>
      </w:pPr>
      <w:r>
        <w:t>Kolchizin senkt perioperative Herzinfarkte nach Brustkorb-OP, unabhängig von KHK-Status</w:t>
      </w:r>
    </w:p>
    <w:p>
      <w:r>
        <w:rPr>
          <w:i/>
          <w:color w:val="666666"/>
          <w:sz w:val="18"/>
        </w:rPr>
        <w:t>Razeghi G et al.  ·  Open Heart  ·  15.09.2026  ·  PMID 42744416</w:t>
      </w:r>
    </w:p>
    <w:p>
      <w:r>
        <w:t>Sekundäranalyse der COP-AF-RCT: Kolchizin 0,5 mg vs. Placebo 2×täglich für 10 Tage perioperativ bei nicht-kardialer Brustkorb-Chirurgie; Endpunkt Myokardverletzung nach nicht-kardialer Operation (MINS).</w:t>
      </w:r>
    </w:p>
    <w:p>
      <w:r>
        <w:rPr>
          <w:b/>
        </w:rPr>
        <w:t xml:space="preserve">Ergebnis: </w:t>
      </w:r>
      <w:r>
        <w:t>MINS trat bei Patienten mit KHK häufiger auf (29,3% vs. 18,2% ohne KHK, adjustiert HR 1,53, 95%-KI 1,22–1,92, p&lt;0,001). Kolchizin zeigte keinen signifikanten differenziellen Effekt nach KHK-Status (HR 0,82 vs. 0,91, p für Interaktion=0,61). Für Endpunkt Death/Stroke/MINS: aHR 1,53 (95%-KI 1,22–1,91) bei KHK.</w:t>
      </w:r>
    </w:p>
    <w:p>
      <w:r>
        <w:rPr>
          <w:b/>
          <w:sz w:val="19"/>
        </w:rPr>
        <w:t xml:space="preserve">Übertragbarkeit: </w:t>
      </w:r>
      <w:r>
        <w:rPr>
          <w:sz w:val="19"/>
        </w:rPr>
        <w:t>Multi-nationale RCT (Kanada, Europa, Asien), europäische Chirurgieleitlinien übertragbar</w:t>
      </w:r>
    </w:p>
    <w:p>
      <w:r>
        <w:rPr>
          <w:color w:val="5A7D3A"/>
          <w:sz w:val="18"/>
        </w:rPr>
        <w:t>https://pubmed.ncbi.nlm.nih.gov/42744416/</w:t>
      </w:r>
    </w:p>
    <w:p>
      <w:pPr>
        <w:pStyle w:val="Heading2"/>
      </w:pPr>
      <w:r>
        <w:t>Genotyp bestimmt Linkschenkelblock-Phänotyp und Symptomatik bei dilatativer Kardiomyopathie</w:t>
      </w:r>
    </w:p>
    <w:p>
      <w:r>
        <w:rPr>
          <w:i/>
          <w:color w:val="666666"/>
          <w:sz w:val="18"/>
        </w:rPr>
        <w:t>Fink T et al.  ·  Eur J Heart Fail  ·  04.09.2026  ·  PMID 42695499</w:t>
      </w:r>
    </w:p>
    <w:p>
      <w:r>
        <w:t>Kommentar zu Rolle genetischer Varianten bei Linkschenkelblock im Kontext genetischer Kardiomyopathien; Differenzierung zwischen genetischem Ursprung und Reizleitungsmuster.</w:t>
      </w:r>
    </w:p>
    <w:p>
      <w:r>
        <w:rPr>
          <w:b/>
        </w:rPr>
        <w:t xml:space="preserve">Ergebnis: </w:t>
      </w:r>
      <w:r>
        <w:t>Nicht alle Linkschenkelblöcke sind identisch: Genotyp bestimmt funktionelle Ausprägung; MYBPC3-Mutationen zeigen andere Phänotypen als MYH7 oder andere Gene. Implikation für CRT-Indikation und therapeutische Ansätze.</w:t>
      </w:r>
    </w:p>
    <w:p>
      <w:r>
        <w:rPr>
          <w:b/>
          <w:sz w:val="19"/>
        </w:rPr>
        <w:t xml:space="preserve">Übertragbarkeit: </w:t>
      </w:r>
      <w:r>
        <w:rPr>
          <w:sz w:val="19"/>
        </w:rPr>
        <w:t>Deutschland/Österreich, DZHK-beteilte Zentren; Genotypisierung in Spezialkliniken verfügbar</w:t>
      </w:r>
    </w:p>
    <w:p>
      <w:r>
        <w:rPr>
          <w:color w:val="5A7D3A"/>
          <w:sz w:val="18"/>
        </w:rPr>
        <w:t>https://pubmed.ncbi.nlm.nih.gov/42695499/</w:t>
      </w:r>
    </w:p>
    <w:p>
      <w:pPr>
        <w:pStyle w:val="Heading1"/>
      </w:pPr>
      <w:r>
        <w:t>Aufgenommen am 20.09.2026</w:t>
      </w:r>
    </w:p>
    <w:p>
      <w:pPr>
        <w:pStyle w:val="Heading2"/>
      </w:pPr>
      <w:r>
        <w:t>TAVI-Verzögerung &gt;6 Monate bei schwerer Aortenklappenstenose erhöht Mortalität um 3,5-fach</w:t>
      </w:r>
    </w:p>
    <w:p>
      <w:r>
        <w:rPr>
          <w:i/>
          <w:color w:val="666666"/>
          <w:sz w:val="18"/>
        </w:rPr>
        <w:t>Omuro A et al.  ·  Open Heart  ·  18.09.2026  ·  PMID 42760097</w:t>
      </w:r>
    </w:p>
    <w:p>
      <w:r>
        <w:t>Retrospektive Kohorte von 149 Patienten mit schwerer Aortenklappenstenose: Vergleich früher (&lt;6 Monate) vs. verzögerter (&gt;6 Monate) TAVI auf klinische Ergebnisse.</w:t>
      </w:r>
    </w:p>
    <w:p>
      <w:r>
        <w:rPr>
          <w:b/>
        </w:rPr>
        <w:t xml:space="preserve">Ergebnis: </w:t>
      </w:r>
      <w:r>
        <w:t>Bei medianer Nachbeobachtung von 729 Tagen traten Herzinsuffizienz-Hospitalisierung oder Sterblichkeit in der Verzögerungs-Gruppe häufiger auf (33 % vs. 16 %, p=0,013). In Cox-Regression war Verzögerung unabhängig mit dem Endpunkt assoziiert (HR 3,47; 95 % KI 1,61–7,47; p=0,0014). Höhere Clinical Frailty Scale war auch prädiktiv (HR 1,62).</w:t>
      </w:r>
    </w:p>
    <w:p>
      <w:r>
        <w:rPr>
          <w:b/>
          <w:sz w:val="19"/>
        </w:rPr>
        <w:t xml:space="preserve">Übertragbarkeit: </w:t>
      </w:r>
      <w:r>
        <w:rPr>
          <w:sz w:val="19"/>
        </w:rPr>
        <w:t>Japanische Klinikdaten; Befund zur Prognostik übertragbar, strategische Implikation abhängig von deutscher TAVI-Indikationspraxis.</w:t>
      </w:r>
    </w:p>
    <w:p>
      <w:r>
        <w:rPr>
          <w:color w:val="5A7D3A"/>
          <w:sz w:val="18"/>
        </w:rPr>
        <w:t>https://pubmed.ncbi.nlm.nih.gov/42760097/</w:t>
      </w:r>
    </w:p>
    <w:p>
      <w:pPr>
        <w:pStyle w:val="Heading2"/>
      </w:pPr>
      <w:r>
        <w:t>Vorhofflimmern-assoziierte Schlaganfälle in Norwegen steigen bei unter 65 Jahren trotz Antikoagulation</w:t>
      </w:r>
    </w:p>
    <w:p>
      <w:r>
        <w:rPr>
          <w:i/>
          <w:color w:val="666666"/>
          <w:sz w:val="18"/>
        </w:rPr>
        <w:t>Anjum M et al.  ·  J Am Heart Assoc  ·  18.09.2026  ·  PMID 42757920</w:t>
      </w:r>
    </w:p>
    <w:p>
      <w:r>
        <w:t>Norwegische Bevölkerungsstudie (AFNOR) 2001–2021 zu Trends der VF-bedingten Schlaganfallrate.</w:t>
      </w:r>
    </w:p>
    <w:p>
      <w:r>
        <w:rPr>
          <w:b/>
        </w:rPr>
        <w:t xml:space="preserve">Ergebnis: </w:t>
      </w:r>
      <w:r>
        <w:t>66.795 (29,4 %) von 227.575 Schlaganfällen waren VF-assoziiert. Gesamtinzidenz VF-ischämischer Schlaganfälle stabil (67,8 pro 100.000 2001 vs. 68,4 pro 100.000 2021; IRR 1,01), aber Anstieg bei 15–64 Jahren. 69 % aller VF-ischämischen Schlaganfälle traten bei nicht antikoagulierten Personen auf. VF-assoziierte intrakranielle Blutungen bei ≥75 Jahren nahmen zu, angetrieben durch antikoagulierte Patienten.</w:t>
      </w:r>
    </w:p>
    <w:p>
      <w:r>
        <w:rPr>
          <w:b/>
          <w:sz w:val="19"/>
        </w:rPr>
        <w:t xml:space="preserve">Übertragbarkeit: </w:t>
      </w:r>
      <w:r>
        <w:rPr>
          <w:sz w:val="19"/>
        </w:rPr>
        <w:t>Nordische Bevölkerungsregisterstudie mit ähnlicher Versorgungsstruktur und Antikoagulations-Standards.</w:t>
      </w:r>
    </w:p>
    <w:p>
      <w:r>
        <w:rPr>
          <w:color w:val="5A7D3A"/>
          <w:sz w:val="18"/>
        </w:rPr>
        <w:t>https://pubmed.ncbi.nlm.nih.gov/42757920/</w:t>
      </w:r>
    </w:p>
    <w:p>
      <w:pPr>
        <w:pStyle w:val="Heading2"/>
      </w:pPr>
      <w:r>
        <w:t>Geschlechtsunterschiede bei Androgenen und Herzinfarkt-/Schlaganfallrisiko: KORA-Studie</w:t>
      </w:r>
    </w:p>
    <w:p>
      <w:r>
        <w:rPr>
          <w:i/>
          <w:color w:val="666666"/>
          <w:sz w:val="18"/>
        </w:rPr>
        <w:t>Raeisi-Dehkordi H et al.  ·  J Am Heart Assoc  ·  18.09.2026  ·  PMID 42757908</w:t>
      </w:r>
    </w:p>
    <w:p>
      <w:r>
        <w:t>Beobachtungsstudie an 1.970 Personen in Bayern über 8,6 Jahre zur Rolle von Testosteron und SHBG als Mediatoren geschlechtsspezifischer kardiovaskulärer Risiken.</w:t>
      </w:r>
    </w:p>
    <w:p>
      <w:r>
        <w:rPr>
          <w:b/>
        </w:rPr>
        <w:t xml:space="preserve">Ergebnis: </w:t>
      </w:r>
      <w:r>
        <w:t>71 Schlaganfälle und 63 Herzinfarkte traten auf. Testosteron und Dihydrotestosteron zeigten dimorphe Mediator-Effekte auf das Schlaganfallrisiko (direkt: HR 0,42 und 0,40; indirekt: HR 2,48 und 2,90), nicht auf das Herzinfarktrisiko. Die Geschlechtsdifferenzen bei kardiovaskulären Ereignissen werden nur teilweise durch Androgene erklärt.</w:t>
      </w:r>
    </w:p>
    <w:p>
      <w:r>
        <w:rPr>
          <w:b/>
          <w:sz w:val="19"/>
        </w:rPr>
        <w:t xml:space="preserve">Übertragbarkeit: </w:t>
      </w:r>
      <w:r>
        <w:rPr>
          <w:sz w:val="19"/>
        </w:rPr>
        <w:t>Deutsche Kohortendaten KORA mit Baseline-Messungen vergleichbar zu Versorgungsdaten.</w:t>
      </w:r>
    </w:p>
    <w:p>
      <w:r>
        <w:rPr>
          <w:color w:val="5A7D3A"/>
          <w:sz w:val="18"/>
        </w:rPr>
        <w:t>https://pubmed.ncbi.nlm.nih.gov/42757908/</w:t>
      </w:r>
    </w:p>
    <w:p>
      <w:pPr>
        <w:pStyle w:val="Heading2"/>
      </w:pPr>
      <w:r>
        <w:t>GLP-1-RA und SGLT2i mit kombinierter Therapie senken Sterblichkeit nach VF-Ablation auf 40 %</w:t>
      </w:r>
    </w:p>
    <w:p>
      <w:r>
        <w:rPr>
          <w:i/>
          <w:color w:val="666666"/>
          <w:sz w:val="18"/>
        </w:rPr>
        <w:t>Ramadan A et al.  ·  Heart Rhythm  ·  17.09.2026  ·  PMID 42753998</w:t>
      </w:r>
    </w:p>
    <w:p>
      <w:r>
        <w:t>TriNetX-Datenbank 2018–2024: Vergleich von Glukagon-ähnlichem Peptid-1-Rezeptoragonist (GLP-1 RA), SGLT2-Inhibitor (SGLT2i) und Kombinationstherapie auf VF-Rezidiv und kardiovaskuläre Ergebnisse nach Katheter-Ablation.</w:t>
      </w:r>
    </w:p>
    <w:p>
      <w:r>
        <w:rPr>
          <w:b/>
        </w:rPr>
        <w:t xml:space="preserve">Ergebnis: </w:t>
      </w:r>
      <w:r>
        <w:t>Bei 1.393 Patienten pro Gruppe war VF-Rezidiv ähnlich unter GLP-1 RA vs. SGLT2i (HR 1,01; p=0,86). Kombinationstherapie vs. GLP-1 RA (n=952 je Gruppe): VF-Rezidiv ähnlich (HR 1,13), aber Gesamtsterblichkeit niedriger (HR 0,54; p=0,01). Kombinationstherapie vs. SGLT2i (n=1.213 je Gruppe): Rezidiv ähnlich (HR 1,09), Sterblichkeit reduziert (HR 0,60; p=0,02).</w:t>
      </w:r>
    </w:p>
    <w:p>
      <w:r>
        <w:rPr>
          <w:b/>
          <w:sz w:val="19"/>
        </w:rPr>
        <w:t xml:space="preserve">Übertragbarkeit: </w:t>
      </w:r>
      <w:r>
        <w:rPr>
          <w:sz w:val="19"/>
        </w:rPr>
        <w:t>USA-Datenbank TriNetX; Medikationsmuster übertragbar für Deutschland, aber VF-Ablations-Strategien unterscheiden sich regional.</w:t>
      </w:r>
    </w:p>
    <w:p>
      <w:r>
        <w:rPr>
          <w:color w:val="5A7D3A"/>
          <w:sz w:val="18"/>
        </w:rPr>
        <w:t>https://pubmed.ncbi.nlm.nih.gov/42753998/</w:t>
      </w:r>
    </w:p>
    <w:p>
      <w:pPr>
        <w:pStyle w:val="Heading2"/>
      </w:pPr>
      <w:r>
        <w:t>Persistente CRP-Erhöhung erhöht Herzinsuffizienz-Inzidenz um 34 % bei erhöhtem kardiovaskulärem Risiko</w:t>
      </w:r>
    </w:p>
    <w:p>
      <w:r>
        <w:rPr>
          <w:i/>
          <w:color w:val="666666"/>
          <w:sz w:val="18"/>
        </w:rPr>
        <w:t>Busti M et al.  ·  Int J Cardiol  ·  16.09.2026  ·  PMID 42749086</w:t>
      </w:r>
    </w:p>
    <w:p>
      <w:r>
        <w:t>Multizentrische elektronische Gesundheitsakte-Studie mit 64.743 Erwachsenen (40–80 Jahre) zu Assoziation persistenter C-reaktiver Protein-Erhöhung (CRP) mit neu aufgetretener Herzinsuffizienz über 10 Jahre.</w:t>
      </w:r>
    </w:p>
    <w:p>
      <w:r>
        <w:rPr>
          <w:b/>
        </w:rPr>
        <w:t xml:space="preserve">Ergebnis: </w:t>
      </w:r>
      <w:r>
        <w:t>Erhöhtes CRP (3,1–10,0 mg/L vs. 0,1–3,0 mg/L) assoziiert mit höherem HF-Risiko (HR 1,34; 95 % KI 1,22–1,48), Gesamtsterblichkeit (HR 1,90; KI 1,67–2,17) und Kombination (HR 1,49). Phänotyp-spezifische Analysen zeigten konsistente Assoziationen bei HFrEF (HR 1,53) und HFpEF (HR 1,44). Stärkerer Effekt bei Nicht-Adipösen.</w:t>
      </w:r>
    </w:p>
    <w:p>
      <w:r>
        <w:rPr>
          <w:b/>
          <w:sz w:val="19"/>
        </w:rPr>
        <w:t xml:space="preserve">Übertragbarkeit: </w:t>
      </w:r>
      <w:r>
        <w:rPr>
          <w:sz w:val="19"/>
        </w:rPr>
        <w:t>TriNetX-Netzwerk, Amerika und internationale Standorte; Inflammations-Biomarker-Assoziationen konzeptionell übertragbar, aber US-Datenschutz-Standards unterschiedlich.</w:t>
      </w:r>
    </w:p>
    <w:p>
      <w:r>
        <w:rPr>
          <w:color w:val="5A7D3A"/>
          <w:sz w:val="18"/>
        </w:rPr>
        <w:t>https://pubmed.ncbi.nlm.nih.gov/42749086/</w:t>
      </w:r>
    </w:p>
    <w:p>
      <w:pPr>
        <w:pStyle w:val="Heading2"/>
      </w:pPr>
      <w:r>
        <w:t>Psychiatrische Störungen nach Trauma als Herz-Kreislauf-Risiko: dänische Registerstudie</w:t>
      </w:r>
    </w:p>
    <w:p>
      <w:r>
        <w:rPr>
          <w:i/>
          <w:color w:val="666666"/>
          <w:sz w:val="18"/>
        </w:rPr>
        <w:t>Sumner JA et al.  ·  J Am Heart Assoc  ·  15.09.2026  ·  PMID 42684053</w:t>
      </w:r>
    </w:p>
    <w:p>
      <w:r>
        <w:t>Populationsbasierte Fallkontroll-Studie zu psychischen Folgeerkrankungen nach Traumaexposition und Risiko für Major Adverse Cardiac and Cerebrovascular Events (MACCE).</w:t>
      </w:r>
    </w:p>
    <w:p>
      <w:r>
        <w:rPr>
          <w:b/>
        </w:rPr>
        <w:t xml:space="preserve">Ergebnis: </w:t>
      </w:r>
      <w:r>
        <w:t>Unter 43.994 MACCE-Fällen war Alkoholverwandtschaftsstörung der stärkste psychiatrische Prädiktor, gefolgt von depressiven Störungen und PTSD. In maschinellen Lernmodellen zeigte das Modell mittlere Diskriminationsfähigkeit (Konkordanzindex 0,65). Depressionen waren bei Frauen stärker assoziiert als bei Männern. Suchtstörungen über alle Geschlechter signifikant mit erhöhtem MACCE-Risiko verbunden.</w:t>
      </w:r>
    </w:p>
    <w:p>
      <w:r>
        <w:rPr>
          <w:b/>
          <w:sz w:val="19"/>
        </w:rPr>
        <w:t xml:space="preserve">Übertragbarkeit: </w:t>
      </w:r>
      <w:r>
        <w:rPr>
          <w:sz w:val="19"/>
        </w:rPr>
        <w:t>Dänisches Universalregister 1995–2021, ähnliches Gesundheitssystem wie Deutschland.</w:t>
      </w:r>
    </w:p>
    <w:p>
      <w:r>
        <w:rPr>
          <w:color w:val="5A7D3A"/>
          <w:sz w:val="18"/>
        </w:rPr>
        <w:t>https://pubmed.ncbi.nlm.nih.gov/42684053/</w:t>
      </w:r>
    </w:p>
    <w:p>
      <w:pPr>
        <w:pStyle w:val="Heading1"/>
      </w:pPr>
      <w:r>
        <w:t>Aufgenommen am 19.09.2026</w:t>
      </w:r>
    </w:p>
    <w:p>
      <w:pPr>
        <w:pStyle w:val="Heading2"/>
      </w:pPr>
      <w:r>
        <w:t>Epicardiales Fett bei Vorhofflimmern: Biomarker für Rezidivrisiko</w:t>
      </w:r>
    </w:p>
    <w:p>
      <w:r>
        <w:rPr>
          <w:i/>
          <w:color w:val="666666"/>
          <w:sz w:val="18"/>
        </w:rPr>
        <w:t>Erhard N et al.  ·  Heart Rhythm  ·  18.09.2026  ·  PMID 42759859</w:t>
      </w:r>
    </w:p>
    <w:p>
      <w:r>
        <w:t>Die Studie quantifizierte mit Photon-Counting-CT das epikardiale Fettgewebe beider Vorhöfe vor Ablation bei 210 Patienten mit paroxysmaler und persistierender AF und verfolgte die Arrhythmie-Freiheit nach 12 Monaten.</w:t>
      </w:r>
    </w:p>
    <w:p>
      <w:r>
        <w:rPr>
          <w:b/>
        </w:rPr>
        <w:t xml:space="preserve">Ergebnis: </w:t>
      </w:r>
      <w:r>
        <w:t>Im linken Vorhof korrelierte ein höheres epikardiales Fettvolumen mit Rezidiven bei persistierender AF (HR 1,51 pro 10 mL Zunahme; 95%-KI 1,06–2,15), nicht jedoch bei paroxysmaler AF (HR 0,79; p für Interaktion = 0,014). Die Arrhythmie-Freiheit betrug 81,9 % bei paroxysmaler und 57,3 % bei persistierender AF (p = 0,005). Diese Biomarker-Stratifikation könnte zukünftig die Patientenauswahl und Nachsorge lenken.</w:t>
      </w:r>
    </w:p>
    <w:p>
      <w:r>
        <w:rPr>
          <w:b/>
          <w:sz w:val="19"/>
        </w:rPr>
        <w:t xml:space="preserve">Übertragbarkeit: </w:t>
      </w:r>
      <w:r>
        <w:rPr>
          <w:sz w:val="19"/>
        </w:rPr>
        <w:t>Deutsches Zentrum für Herz-Kreislauf-Forschung, prospektive klinische Studie mit standardisierter CT-Bildgebung</w:t>
      </w:r>
    </w:p>
    <w:p>
      <w:r>
        <w:rPr>
          <w:color w:val="5A7D3A"/>
          <w:sz w:val="18"/>
        </w:rPr>
        <w:t>https://pubmed.ncbi.nlm.nih.gov/42759859/</w:t>
      </w:r>
    </w:p>
    <w:p>
      <w:pPr>
        <w:pStyle w:val="Heading2"/>
      </w:pPr>
      <w:r>
        <w:t>Neutrophil-Lymphozyten-Verhältnis bei Herzinsuffizienz: SGLT2-Hemmer wirken unabhängig davon</w:t>
      </w:r>
    </w:p>
    <w:p>
      <w:r>
        <w:rPr>
          <w:i/>
          <w:color w:val="666666"/>
          <w:sz w:val="18"/>
        </w:rPr>
        <w:t>Pellicori P et al.  ·  ESC Heart Fail  ·  18.09.2026  ·  PMID 42759496</w:t>
      </w:r>
    </w:p>
    <w:p>
      <w:r>
        <w:t>Post-hoc-Analyse der EMPEROR-Pooled-Datenbank (9.706 Patienten mit CHF) untersuchte das Neutrophil-Lymphozyten-Verhältnis (NLR) als Marker für Inflammation und Stauung und die Effektivität von Empagliflozin nach Quintilen.</w:t>
      </w:r>
    </w:p>
    <w:p>
      <w:r>
        <w:rPr>
          <w:b/>
        </w:rPr>
        <w:t xml:space="preserve">Ergebnis: </w:t>
      </w:r>
      <w:r>
        <w:t>Höchstes NLR-Quintil (vs. niedrigstes) zeigte 27,3 % vs. 14,9 % Primärereignisse (HF-Hospitalisierung oder kardiovaskulärer Tod; adjustierte HR 1,44; 95%-KI 1,16–1,80; p = 0,001). Empagliflozin reduzierte die Primärendpunkte konsistent über alle NLR-Gruppen hinweg, und der Wirkmechanismus war vom NLR-Ausgangswert unabhängig.</w:t>
      </w:r>
    </w:p>
    <w:p>
      <w:r>
        <w:rPr>
          <w:b/>
          <w:sz w:val="19"/>
        </w:rPr>
        <w:t xml:space="preserve">Übertragbarkeit: </w:t>
      </w:r>
      <w:r>
        <w:rPr>
          <w:sz w:val="19"/>
        </w:rPr>
        <w:t>Multinationale Studie, europäische SGLT2i-Leitlinien-Therapie, stratifizierte Effektivität relevant</w:t>
      </w:r>
    </w:p>
    <w:p>
      <w:r>
        <w:rPr>
          <w:color w:val="5A7D3A"/>
          <w:sz w:val="18"/>
        </w:rPr>
        <w:t>https://pubmed.ncbi.nlm.nih.gov/42759496/</w:t>
      </w:r>
    </w:p>
    <w:p>
      <w:pPr>
        <w:pStyle w:val="Heading2"/>
      </w:pPr>
      <w:r>
        <w:t>Frührhythmuskontrollen bei Vorhofflimmern und Krebsgeschichte: EAST-AFNET-4-Subgruppe</w:t>
      </w:r>
    </w:p>
    <w:p>
      <w:r>
        <w:rPr>
          <w:i/>
          <w:color w:val="666666"/>
          <w:sz w:val="18"/>
        </w:rPr>
        <w:t>Ismaili D et al.  ·  Europace  ·  18.09.2026  ·  PMID 42758310</w:t>
      </w:r>
    </w:p>
    <w:p>
      <w:r>
        <w:t>Sekundäranalyse der EAST-AFNET-4-Studie verglich 216 Patienten mit Krebsgeschichte (7,8 %) gegen 2.563 ohne Krebs bezüglich Nutzen und Sicherheit einer frühen Rhythmuskontrolle.</w:t>
      </w:r>
    </w:p>
    <w:p>
      <w:r>
        <w:rPr>
          <w:b/>
        </w:rPr>
        <w:t xml:space="preserve">Ergebnis: </w:t>
      </w:r>
      <w:r>
        <w:t>Frühe Rhythmuskontrolle reduzierte die Primärendpunkte (kardiovaskulärer Tod, Schlaganfall, HF- oder Herzinfarkt-Hospitalisierung) unabhängig von Krebsgeschichte (p Interaktion = 0,23), mit 84,9 % vs. 81,8 % Sinusrhythmus nach 24 Monaten. Ein Signal für mehr Sicherheitsereignisse unter Rhythmuskontrolle bei Krebspatienten (31 % vs. 20 %; p Interaktion = 0,055) warnt vor zusätzlichen Schäden in dieser Subgruppe.</w:t>
      </w:r>
    </w:p>
    <w:p>
      <w:r>
        <w:rPr>
          <w:b/>
          <w:sz w:val="19"/>
        </w:rPr>
        <w:t xml:space="preserve">Übertragbarkeit: </w:t>
      </w:r>
      <w:r>
        <w:rPr>
          <w:sz w:val="19"/>
        </w:rPr>
        <w:t>EAST-AFNET-4: multinationales europäisches Netzwerk, deutsche Leitzentren, richtlinienstabilisierend</w:t>
      </w:r>
    </w:p>
    <w:p>
      <w:r>
        <w:rPr>
          <w:color w:val="5A7D3A"/>
          <w:sz w:val="18"/>
        </w:rPr>
        <w:t>https://pubmed.ncbi.nlm.nih.gov/42758310/</w:t>
      </w:r>
    </w:p>
    <w:p>
      <w:pPr>
        <w:pStyle w:val="Heading2"/>
      </w:pPr>
      <w:r>
        <w:t>Vorhofflimmern-Screening: Intensiveres Monitoring findet mehr Fälle, besonders bei älteren Patienten</w:t>
      </w:r>
    </w:p>
    <w:p>
      <w:r>
        <w:rPr>
          <w:i/>
          <w:color w:val="666666"/>
          <w:sz w:val="18"/>
        </w:rPr>
        <w:t>Xing LY et al.  ·  Europace  ·  18.09.2026  ·  PMID 42758309</w:t>
      </w:r>
    </w:p>
    <w:p>
      <w:r>
        <w:t>Individual-Participant-Data-Metaanalyse von 34.165 gescreenten Personen (AFFECT-EU/AF-SCREEN) verglich die Detektionsquote nach Screening-Methode und Patientenmerkmalen.</w:t>
      </w:r>
    </w:p>
    <w:p>
      <w:r>
        <w:rPr>
          <w:b/>
        </w:rPr>
        <w:t xml:space="preserve">Ergebnis: </w:t>
      </w:r>
      <w:r>
        <w:t>Die Diagnose-Quote stieg mit Screening-Intensität: Einzelnes Zeitfenster 0,83 %, intermittierendes Monitoring 5,06 %, kurzfristiges Monitoring ≤30 Tage 4,81 %, langfristiges &gt;30 Tage 30,39 %. Hohes Alter, männliches Geschlecht, Hypertonie und Herzinsuffizienz waren unabhängig mit AF-Detektion assoziiert; diese Faktoren beeinflussten das Screening-Ergebnis am meisten bei Einzelzeitpunkt-Screening.</w:t>
      </w:r>
    </w:p>
    <w:p>
      <w:r>
        <w:rPr>
          <w:b/>
          <w:sz w:val="19"/>
        </w:rPr>
        <w:t xml:space="preserve">Übertragbarkeit: </w:t>
      </w:r>
      <w:r>
        <w:rPr>
          <w:sz w:val="19"/>
        </w:rPr>
        <w:t>Europäische und nordamerikanische Kohorten, vergleichbar mit deutschen Screening-Programmen</w:t>
      </w:r>
    </w:p>
    <w:p>
      <w:r>
        <w:rPr>
          <w:color w:val="5A7D3A"/>
          <w:sz w:val="18"/>
        </w:rPr>
        <w:t>https://pubmed.ncbi.nlm.nih.gov/42758309/</w:t>
      </w:r>
    </w:p>
    <w:p>
      <w:pPr>
        <w:pStyle w:val="Heading2"/>
      </w:pPr>
      <w:r>
        <w:t>Herzinsuffizienz-Hospitalisierung: Mortalität 30 Tage relativ stabil, aber Ungleichheiten wachsen</w:t>
      </w:r>
    </w:p>
    <w:p>
      <w:r>
        <w:rPr>
          <w:i/>
          <w:color w:val="666666"/>
          <w:sz w:val="18"/>
        </w:rPr>
        <w:t>Usman MS et al.  ·  JACC Heart Fail  ·  16.09.2026  ·  PMID 42758064</w:t>
      </w:r>
    </w:p>
    <w:p>
      <w:r>
        <w:t>Retrospektive Kohortenstudie (Medicare 2016–2022, 4.957.054 HF-Hospitalisierungen) analysierte Trends in 30-Tages-Mortalität, Wiederaufnahme und Tage zu Hause (alive and out-of-facility).</w:t>
      </w:r>
    </w:p>
    <w:p>
      <w:r>
        <w:rPr>
          <w:b/>
        </w:rPr>
        <w:t xml:space="preserve">Ergebnis: </w:t>
      </w:r>
      <w:r>
        <w:t>30-Tages-Mortalität sank vor der Pandemie (9,01 % auf 8,38 %), stieg 2020 (9,13 %) und fiel wieder 2022 (8,49 %). Männer hatten höhere Mortalität als Frauen; Weiße höher als Schwarze. Medicare-FFS-Beneficiäre hatten konsistent höhere Mortalität als Medicare Advantage (Lücke wuchs über Zeit). Wiederaufnahmequoten sanken prä-pandemisch, platauten 2020 und sanken wieder post-pandemisch (aRR 2022 vs. 2020: 0,96).</w:t>
      </w:r>
    </w:p>
    <w:p>
      <w:r>
        <w:rPr>
          <w:b/>
          <w:sz w:val="19"/>
        </w:rPr>
        <w:t xml:space="preserve">Übertragbarkeit: </w:t>
      </w:r>
      <w:r>
        <w:rPr>
          <w:sz w:val="19"/>
        </w:rPr>
        <w:t>USA-Medicare-System, nicht 1:1 übertragbar; aber Versorgungsungleichheiten relevant für deutsche DMP-Strukturen</w:t>
      </w:r>
    </w:p>
    <w:p>
      <w:r>
        <w:rPr>
          <w:color w:val="5A7D3A"/>
          <w:sz w:val="18"/>
        </w:rPr>
        <w:t>https://pubmed.ncbi.nlm.nih.gov/42758064/</w:t>
      </w:r>
    </w:p>
    <w:p>
      <w:pPr>
        <w:pStyle w:val="Heading2"/>
      </w:pPr>
      <w:r>
        <w:t>Chronische Herzinsuffizienz und LVAD: beeinträchtigte Hirnfunktion und neuronal-ischämische Marker</w:t>
      </w:r>
    </w:p>
    <w:p>
      <w:r>
        <w:rPr>
          <w:i/>
          <w:color w:val="666666"/>
          <w:sz w:val="18"/>
        </w:rPr>
        <w:t>Jungclaus MS et al.  ·  J Am Heart Assoc  ·  18.09.2026  ·  PMID 42757935</w:t>
      </w:r>
    </w:p>
    <w:p>
      <w:r>
        <w:t>Querschnittsstudie an 19 LVAD- und 13 Patienten mit fortgeschrittener CHF verglich kognitive Leistung, blutbasierte Neuronen-Biomarker (NfL, pTau181, GFAP) und Gehirn-PET-Metabolismus.</w:t>
      </w:r>
    </w:p>
    <w:p>
      <w:r>
        <w:rPr>
          <w:b/>
        </w:rPr>
        <w:t xml:space="preserve">Ergebnis: </w:t>
      </w:r>
      <w:r>
        <w:t>69 % aller Patienten zeigten kognitive Dysfunktion; Biomarker waren in beiden Gruppen erhöht (medianes NfL 45,7 pg/mL, pTau181 23,1 pg/mL, GFAP 191,3 pg/mL). LVAD-Patienten wiesen mehr Hypometabolismus-Volumen auf (1,03 mL vs. 0 mL bei CHF; p = 0,003). Dieser Multi-Modal-Befund deutet auf potenziell reversible zerebrovaskuläre Komplikationen hin, die bei LVAD-Patienten zu monitoren sind.</w:t>
      </w:r>
    </w:p>
    <w:p>
      <w:r>
        <w:rPr>
          <w:b/>
          <w:sz w:val="19"/>
        </w:rPr>
        <w:t xml:space="preserve">Übertragbarkeit: </w:t>
      </w:r>
      <w:r>
        <w:rPr>
          <w:sz w:val="19"/>
        </w:rPr>
        <w:t>Deutsche Spezialkliniken erfassen ähnliche Komplikationen, Grundlage für strukturierte Überwachung</w:t>
      </w:r>
    </w:p>
    <w:p>
      <w:r>
        <w:rPr>
          <w:color w:val="5A7D3A"/>
          <w:sz w:val="18"/>
        </w:rPr>
        <w:t>https://pubmed.ncbi.nlm.nih.gov/42757935/</w:t>
      </w:r>
    </w:p>
    <w:p>
      <w:pPr>
        <w:pStyle w:val="Heading1"/>
      </w:pPr>
      <w:r>
        <w:t>Aufgenommen am 18.09.2026</w:t>
      </w:r>
    </w:p>
    <w:p>
      <w:pPr>
        <w:pStyle w:val="Heading2"/>
      </w:pPr>
      <w:r>
        <w:t>Linksatriale Dehnung zeigt NT-proBNP-Belastung bei fettleibigen HFpEF-Patienten an</w:t>
      </w:r>
    </w:p>
    <w:p>
      <w:r>
        <w:rPr>
          <w:i/>
          <w:color w:val="666666"/>
          <w:sz w:val="18"/>
        </w:rPr>
        <w:t>Mandoli GE et al.  ·  Int J Cardiol  ·  17.09.2026  ·  PMID 42754101</w:t>
      </w:r>
    </w:p>
    <w:p>
      <w:r>
        <w:t>Einzenter-Retrospektivstudie mit 118 adipösen Patienten (BMI ≥ 30 kg/m²) mit HFpEF untersuchte, ob globales Peak Atrial Longitudinal Strain (PALS) mit NT-proBNP und 6-Minuten-Gehtest assoziiert ist.</w:t>
      </w:r>
    </w:p>
    <w:p>
      <w:r>
        <w:rPr>
          <w:b/>
        </w:rPr>
        <w:t xml:space="preserve">Ergebnis: </w:t>
      </w:r>
      <w:r>
        <w:t>Medianes globales PALS war 23,0 % [17,3-30,8], E/e'-Ratio 10 [8-13]. Globales PALS war unabhängig und invers mit ln(NT-proBNP) assoziiert (β = -0,045; 95%-KI -0,070 bis -0,019; p &lt; 0,001). Atriale Steifheit war unabhängig mit ln(NT-proBNP) (β = 0,27; p = 0,014) und 6MWT (β = -9,3; p = 0,046) assoziiert. LA-Dehnung und Steifheit liefern komplementäre Informationen zur hämodynamischen Last bei adipösen HFpEF-Patienten.</w:t>
      </w:r>
    </w:p>
    <w:p>
      <w:r>
        <w:rPr>
          <w:b/>
          <w:sz w:val="19"/>
        </w:rPr>
        <w:t xml:space="preserve">Übertragbarkeit: </w:t>
      </w:r>
      <w:r>
        <w:rPr>
          <w:sz w:val="19"/>
        </w:rPr>
        <w:t>Italienische Universitätsklinik, Echokardiographie-Parameter für HFpEF-Phenotypisierung in Deutschland etabliert.</w:t>
      </w:r>
    </w:p>
    <w:p>
      <w:r>
        <w:rPr>
          <w:color w:val="5A7D3A"/>
          <w:sz w:val="18"/>
        </w:rPr>
        <w:t>https://pubmed.ncbi.nlm.nih.gov/42754101/</w:t>
      </w:r>
    </w:p>
    <w:p>
      <w:pPr>
        <w:pStyle w:val="Heading2"/>
      </w:pPr>
      <w:r>
        <w:t>RAISE-Score validiert Transthyretin-Amyloidose bei schwerer Aortenstenose im Katheterlabor nur mäßig</w:t>
      </w:r>
    </w:p>
    <w:p>
      <w:r>
        <w:rPr>
          <w:i/>
          <w:color w:val="666666"/>
          <w:sz w:val="18"/>
        </w:rPr>
        <w:t>Guerra ÁR et al.  ·  Int J Cardiol  ·  17.09.2026  ·  PMID 42754100</w:t>
      </w:r>
    </w:p>
    <w:p>
      <w:r>
        <w:t>Prospektive externe Validierung des RAISE-Scores zur Diagnose transthyretin-assoziierter kardialer Amyloidose (ATTR-CA) bei 340 Patienten mit schwerer AS zur TAVI.</w:t>
      </w:r>
    </w:p>
    <w:p>
      <w:r>
        <w:rPr>
          <w:b/>
        </w:rPr>
        <w:t xml:space="preserve">Ergebnis: </w:t>
      </w:r>
      <w:r>
        <w:t>ATTR-CA lag bei 4,1 % (14 Fälle) vor. ATTR-CA-Patienten waren älter (83,5 ± 6,7 vs. 79,1 ± 6,1 Jahre), zeigten mehr Pseudo-Infarkt-Muster (50 % vs. 10,3 %), niedrigere LVEF (50,1 ± 16,1 % vs. 62,4 ± 14,1 %) und schlechtere globale longitudinale Dehnung (-11,4 ± 5,8 vs. -18,3 ± 5,2). RAISE-Score ≥ 2 assoziierte mit höherer ATTR-CA-Prävalenz (7,2 % vs. 2,3 %; p = 0,044); AUC war 0,69 (p = 0,016). Der Score zeigt moderate Diskriminationsfähigkeit, deutlich niedriger als ursprünglich berichtet.</w:t>
      </w:r>
    </w:p>
    <w:p>
      <w:r>
        <w:rPr>
          <w:b/>
          <w:sz w:val="19"/>
        </w:rPr>
        <w:t xml:space="preserve">Übertragbarkeit: </w:t>
      </w:r>
      <w:r>
        <w:rPr>
          <w:sz w:val="19"/>
        </w:rPr>
        <w:t>Spanische prospektive Validierungsstudie, Erkenntnisse zum ATTR-CA-Screening bei AS in Europa relevant.</w:t>
      </w:r>
    </w:p>
    <w:p>
      <w:r>
        <w:rPr>
          <w:color w:val="5A7D3A"/>
          <w:sz w:val="18"/>
        </w:rPr>
        <w:t>https://pubmed.ncbi.nlm.nih.gov/42754100/</w:t>
      </w:r>
    </w:p>
    <w:p>
      <w:pPr>
        <w:pStyle w:val="Heading2"/>
      </w:pPr>
      <w:r>
        <w:t>Enge Kopplungsintervalle in ventrikulären Salven präsagen plötzlichen Herztod bei Hypertrophischer Kardiomyopathie</w:t>
      </w:r>
    </w:p>
    <w:p>
      <w:r>
        <w:rPr>
          <w:i/>
          <w:color w:val="666666"/>
          <w:sz w:val="18"/>
        </w:rPr>
        <w:t>Zhang Y et al.  ·  Europace  ·  02.09.2026  ·  PMID 42749293</w:t>
      </w:r>
    </w:p>
    <w:p>
      <w:r>
        <w:t>Retrospektive Multizenterstudie mit 2.625 HCM-Patienten untersuchte, ob Charakteristika von nicht-anhaltenden ventrikulären Tachykardien (NSVT) das Plötzlichen-Tod-Risiko stratifizieren.</w:t>
      </w:r>
    </w:p>
    <w:p>
      <w:r>
        <w:rPr>
          <w:b/>
        </w:rPr>
        <w:t xml:space="preserve">Ergebnis: </w:t>
      </w:r>
      <w:r>
        <w:t>In 320 Patienten (12,4 %) traten NSVT auf. Das zweite Kopplungsintervall war stärkster Prädiktor (optimaler Cut-off 394 ms). Ein Intervall &lt; 394 ms erhöhte das SCD-Risiko stark (HR 8,36; 95%-KI 4,33-16,12; p &lt; 0,001) gegenüber Abwesenheit von NSVT, während ≥ 394 ms nicht prognostisch war. Differenzierte NSVT-Analyse verbesserte SCD-Risikoalgorithmen und könnte ICD-Implantation-Entscheidungen optimieren.</w:t>
      </w:r>
    </w:p>
    <w:p>
      <w:r>
        <w:rPr>
          <w:b/>
          <w:sz w:val="19"/>
        </w:rPr>
        <w:t xml:space="preserve">Übertragbarkeit: </w:t>
      </w:r>
      <w:r>
        <w:rPr>
          <w:sz w:val="19"/>
        </w:rPr>
        <w:t>Chinesische Multizenterstudie, etablierte Erkenntnisse zur HCM-Risikostratifizierung bestätigt.</w:t>
      </w:r>
    </w:p>
    <w:p>
      <w:r>
        <w:rPr>
          <w:color w:val="5A7D3A"/>
          <w:sz w:val="18"/>
        </w:rPr>
        <w:t>https://pubmed.ncbi.nlm.nih.gov/42749293/</w:t>
      </w:r>
    </w:p>
    <w:p>
      <w:pPr>
        <w:pStyle w:val="Heading2"/>
      </w:pPr>
      <w:r>
        <w:t>Nodales Hub-Spoke-System reduziert Kardiogener-Schock-Mortalität durch Zentralisierung und Versorgungskoordination</w:t>
      </w:r>
    </w:p>
    <w:p>
      <w:r>
        <w:rPr>
          <w:i/>
          <w:color w:val="666666"/>
          <w:sz w:val="18"/>
        </w:rPr>
        <w:t>Samsky MD et al.  ·  Circ Heart Fail  ·  15.09.2026  ·  PMID 42743341</w:t>
      </w:r>
    </w:p>
    <w:p>
      <w:r>
        <w:t>Ein Expertenkonsensus-Artikel der American Heart Association fordert ein knotenpunktbasiertes regionales Versorgungssystem für kardiogenen Schock mit gestaffelten Hospitalsebenen, standardisierten Protokollen und strukturierter Verlegung.</w:t>
      </w:r>
    </w:p>
    <w:p>
      <w:r>
        <w:rPr>
          <w:b/>
        </w:rPr>
        <w:t xml:space="preserve">Ergebnis: </w:t>
      </w:r>
      <w:r>
        <w:t>Beobachtungsdaten deuten auf Assoziation zwischen strukturierter multidisziplinärer Versorgung, regionalen Netzwerken und konsistenterer Leistungserbringung hin; randomisierte Kausalbeweise fehlen noch. Ein für alle Ursachen und Schweregrade ausgelegtes nationales Registersystem wird empfohlen. Das System sollte Transport nach Schock-Phänotyp und Zielstrategie steuern, nicht nach Geografie; Erfolg sollte Timing, Outcomes und Chancengleichheit umfassen.</w:t>
      </w:r>
    </w:p>
    <w:p>
      <w:r>
        <w:rPr>
          <w:b/>
          <w:sz w:val="19"/>
        </w:rPr>
        <w:t xml:space="preserve">Übertragbarkeit: </w:t>
      </w:r>
      <w:r>
        <w:rPr>
          <w:sz w:val="19"/>
        </w:rPr>
        <w:t>USA-Konsensus für kardiale Versorgungsstrukturierung; Konzept der Zentralisierung und Netzwerkbildung auf deutsches DRG-System mit Herzzentren übertragbar.</w:t>
      </w:r>
    </w:p>
    <w:p>
      <w:r>
        <w:rPr>
          <w:color w:val="5A7D3A"/>
          <w:sz w:val="18"/>
        </w:rPr>
        <w:t>https://pubmed.ncbi.nlm.nih.gov/42743341/</w:t>
      </w:r>
    </w:p>
    <w:p>
      <w:pPr>
        <w:pStyle w:val="Heading2"/>
      </w:pPr>
      <w:r>
        <w:t>Diabetes erhöht Reinfarkt- und kardiales Scheitern nach PCI, OCT hilft nicht</w:t>
      </w:r>
    </w:p>
    <w:p>
      <w:r>
        <w:rPr>
          <w:i/>
          <w:color w:val="666666"/>
          <w:sz w:val="18"/>
        </w:rPr>
        <w:t>Gaede L et al.  ·  JACC Cardiovasc Interv  ·  14.09.2026  ·  PMID 42735969</w:t>
      </w:r>
    </w:p>
    <w:p>
      <w:r>
        <w:t>Die ILUMIEN-IV-Studie untersuchte, ob optische Kohärenztomographie (OCT) gegenüber Angiographie die Outcome-Raten bei 2.487 PCI-Patienten mit und ohne Diabetes über 2 Jahre verbessert.</w:t>
      </w:r>
    </w:p>
    <w:p>
      <w:r>
        <w:rPr>
          <w:b/>
        </w:rPr>
        <w:t xml:space="preserve">Ergebnis: </w:t>
      </w:r>
      <w:r>
        <w:t>Patienten mit Diabetes hatten höhere Target-Vessel-Failure-Raten (9,9 % vs. 6,3 %; adjustierte HR 1,48; p = 0,01) und schwerwiegende MACE (5,3 % vs. 2,7 %; adjustierte HR 1,77; p = 0,01) als Nicht-Diabetiker; OCT-Führung reduzierte weder TVF noch MACE in beiden Gruppen (p = 0,41 bzw. 0,20). Diabetes bleibt ein starker Prädiktor für Komplikationen nach PCI, unabhängig von Bildgebungstechnik.</w:t>
      </w:r>
    </w:p>
    <w:p>
      <w:r>
        <w:rPr>
          <w:b/>
          <w:sz w:val="19"/>
        </w:rPr>
        <w:t xml:space="preserve">Übertragbarkeit: </w:t>
      </w:r>
      <w:r>
        <w:rPr>
          <w:sz w:val="19"/>
        </w:rPr>
        <w:t>Multizentrische Studie mit europäischen Zentren, Ergebnisse auf DMP-KHK-Patienten übertragbar.</w:t>
      </w:r>
    </w:p>
    <w:p>
      <w:r>
        <w:rPr>
          <w:color w:val="5A7D3A"/>
          <w:sz w:val="18"/>
        </w:rPr>
        <w:t>https://pubmed.ncbi.nlm.nih.gov/42735969/</w:t>
      </w:r>
    </w:p>
    <w:p>
      <w:pPr>
        <w:pStyle w:val="Heading2"/>
      </w:pPr>
      <w:r>
        <w:t>Hochsensitives Troponin T übertrifft NT-proBNP bei Prädiktion der Sterblichkeit nach nicht-kardialem Eingriff</w:t>
      </w:r>
    </w:p>
    <w:p>
      <w:r>
        <w:rPr>
          <w:i/>
          <w:color w:val="666666"/>
          <w:sz w:val="18"/>
        </w:rPr>
        <w:t>Kirkopoulos A et al.  ·  J Am Heart Assoc  ·  15.09.2026  ·  PMID 42714475</w:t>
      </w:r>
    </w:p>
    <w:p>
      <w:r>
        <w:t>Sekundäranalyse der METREPAIR- und MINSS-Studien verglich die Vorhersageleistung von Hochsensitiv-Troponin T (hs-TnT) und NT-proBNP für 30-Tage-MACE und Mortalität nach Elektiveingriff ohne Herzerkrankung bei 2.251 Hochrisikopatienten.</w:t>
      </w:r>
    </w:p>
    <w:p>
      <w:r>
        <w:rPr>
          <w:b/>
        </w:rPr>
        <w:t xml:space="preserve">Ergebnis: </w:t>
      </w:r>
      <w:r>
        <w:t>MACE trat bei 5,8 % und Mortalität bei 1,6 % auf. Nur hs-TnT verbesserte die Diskrimination für Mortalität (AUC 0,680 vs. 0,674; Δ = 0,006; p = 0,047); praktischer Nutzen beider Biomarker über RCRI und Alter war limitiert. hs-TnT war NT-proBNP marginal überlegen.</w:t>
      </w:r>
    </w:p>
    <w:p>
      <w:r>
        <w:rPr>
          <w:b/>
          <w:sz w:val="19"/>
        </w:rPr>
        <w:t xml:space="preserve">Übertragbarkeit: </w:t>
      </w:r>
      <w:r>
        <w:rPr>
          <w:sz w:val="19"/>
        </w:rPr>
        <w:t>Europäische prospektive Multizenterstudie (Schweiz, Niederlande, Skandinavien), direkt auf deutsches Perioperativ-Management übertragbar.</w:t>
      </w:r>
    </w:p>
    <w:p>
      <w:r>
        <w:rPr>
          <w:color w:val="5A7D3A"/>
          <w:sz w:val="18"/>
        </w:rPr>
        <w:t>https://pubmed.ncbi.nlm.nih.gov/42714475/</w:t>
      </w:r>
    </w:p>
    <w:p>
      <w:pPr>
        <w:pStyle w:val="Heading1"/>
      </w:pPr>
      <w:r>
        <w:t>Aufgenommen am 17.09.2026</w:t>
      </w:r>
    </w:p>
    <w:p>
      <w:pPr>
        <w:pStyle w:val="Heading2"/>
      </w:pPr>
      <w:r>
        <w:t>Geh-Tempo ist stärkster Marker für Prognose nach Herzinfarkt in kardialer Rehabilitation älterer Patienten</w:t>
      </w:r>
    </w:p>
    <w:p>
      <w:r>
        <w:rPr>
          <w:i/>
          <w:color w:val="666666"/>
          <w:sz w:val="18"/>
        </w:rPr>
        <w:t>Raisi A et al.  ·  Eur J Prev Cardiol  ·  16.09.2026  ·  PMID 42748164</w:t>
      </w:r>
    </w:p>
    <w:p>
      <w:r>
        <w:t>Prespecified Subanalyse der PIpELINe-Studie an 512 Patienten ≥65 Jahre mit Herzinfarkt (mittlerer SPPB-Score 4–9): Multidomain-Rehabilitation versus Standardversorgung mit 1-Jahres-Nachsorge.</w:t>
      </w:r>
    </w:p>
    <w:p>
      <w:r>
        <w:rPr>
          <w:b/>
        </w:rPr>
        <w:t xml:space="preserve">Ergebnis: </w:t>
      </w:r>
      <w:r>
        <w:t>Primärer Endpunkt (kardiovaskulärer Tod/ungeplante kardiovaskuläre Hospitalisierung) bei niedrigerem SPPB signifikant häufiger (HR 0,51; 95%-KI 0,32–0,82). Gehgeschwindigkeit einzeln war stärkster Marker: 50 % Risikoreduktion pro 1-Punkt-Verbesserung (HR 0,50; 95%-KI 0,37–0,68; p&lt;0,001). Multidomain-Rehabilitation zeigte konsistenten Nutzen unabhängig von SPPB-Level.</w:t>
      </w:r>
    </w:p>
    <w:p>
      <w:r>
        <w:rPr>
          <w:b/>
          <w:sz w:val="19"/>
        </w:rPr>
        <w:t xml:space="preserve">Übertragbarkeit: </w:t>
      </w:r>
      <w:r>
        <w:rPr>
          <w:sz w:val="19"/>
        </w:rPr>
        <w:t>Italienisch-deutsche Versorgungsstudie; einfaches Screening-Tool für Rehabilitation in Deutschland anwendbar.</w:t>
      </w:r>
    </w:p>
    <w:p>
      <w:r>
        <w:rPr>
          <w:color w:val="5A7D3A"/>
          <w:sz w:val="18"/>
        </w:rPr>
        <w:t>https://pubmed.ncbi.nlm.nih.gov/42748164/</w:t>
      </w:r>
    </w:p>
    <w:p>
      <w:pPr>
        <w:pStyle w:val="Heading2"/>
      </w:pPr>
      <w:r>
        <w:t>NT-proBNP und LVEDP in HFpEF häufig diskordant; Mortalitätsrisiko erhöht nur bei Elevation beider Parameter</w:t>
      </w:r>
    </w:p>
    <w:p>
      <w:r>
        <w:rPr>
          <w:i/>
          <w:color w:val="666666"/>
          <w:sz w:val="18"/>
        </w:rPr>
        <w:t>Güder G et al.  ·  Heart  ·  15.09.2026  ·  PMID 42744605</w:t>
      </w:r>
    </w:p>
    <w:p>
      <w:r>
        <w:t>Prospektive Kohortenstudie an 514 Patienten mit vermuteter HFpEF: Blutentnahme auf NT-proBNP und invasive Messung des linksventrikulären enddiastolischen Drucks erfolgte bei Herzkatheteruntersuchung gleichzeitig.</w:t>
      </w:r>
    </w:p>
    <w:p>
      <w:r>
        <w:rPr>
          <w:b/>
        </w:rPr>
        <w:t xml:space="preserve">Ergebnis: </w:t>
      </w:r>
      <w:r>
        <w:t>Diskordanz zwischen NT-proBNP und LVEDP war häufig (42 %). Adjustierte Mortalität war erhöht bei isolierter NT-proBNP-Elevation (HR 2,26; 95%-KI 1,02–5,01) und bei Elevation beider Parameter (HR 3,33; 95%-KI 1,54–7,20), nicht aber bei isolierter LVEDP-Elevation (HR 1,34; 95%-KI 0,45–4,02). Dies unterstreicht, dass beide Parameter komplementäre Informationen liefern.</w:t>
      </w:r>
    </w:p>
    <w:p>
      <w:r>
        <w:rPr>
          <w:b/>
          <w:sz w:val="19"/>
        </w:rPr>
        <w:t xml:space="preserve">Übertragbarkeit: </w:t>
      </w:r>
      <w:r>
        <w:rPr>
          <w:sz w:val="19"/>
        </w:rPr>
        <w:t>Deutsche Universitätskliniken; direkte invasive Diagnostik ändert Strategie bei vermuteter HFpEF.</w:t>
      </w:r>
    </w:p>
    <w:p>
      <w:r>
        <w:rPr>
          <w:color w:val="5A7D3A"/>
          <w:sz w:val="18"/>
        </w:rPr>
        <w:t>https://pubmed.ncbi.nlm.nih.gov/42744605/</w:t>
      </w:r>
    </w:p>
    <w:p>
      <w:pPr>
        <w:pStyle w:val="Heading2"/>
      </w:pPr>
      <w:r>
        <w:t>Blutkultur-Epidemiologie weist auf Lücken in Endokarditis-Screening hin: Risiko unterschätzt bei Gruppierung seltener Spezies</w:t>
      </w:r>
    </w:p>
    <w:p>
      <w:r>
        <w:rPr>
          <w:i/>
          <w:color w:val="666666"/>
          <w:sz w:val="18"/>
        </w:rPr>
        <w:t>De Oliveira EK et al.  ·  Open Heart  ·  15.09.2026  ·  PMID 42744415</w:t>
      </w:r>
    </w:p>
    <w:p>
      <w:r>
        <w:t>Single-Center-Registerstudie (2015–2021) an 4.242 Patienten/3.708 Admission mit 4.939 Blutkultur-Infektionen: Erfassung aller BSI und Auswertung ihres Anteils an definierter Infektive Endokarditis und Echokardiographie-Screening-Raten.</w:t>
      </w:r>
    </w:p>
    <w:p>
      <w:r>
        <w:rPr>
          <w:b/>
        </w:rPr>
        <w:t xml:space="preserve">Ergebnis: </w:t>
      </w:r>
      <w:r>
        <w:t>IE-Prävalenz aller BSI 2,7 %. Höchste IE-Anteile bei seltenen Pathogenen: Streptococcus bovis 19,2 %, Listeria monocytogenes 16,7 %. Häufigere (Enterobacterales 48,3 %, Staph aureus 11,5 %) zeigten niedrigere IE-Raten. Patienten mit Implantat 5-fach höhere IE-Prävalenz. Echokardiographie-Screening 75 % für S. aureus, 27–59 % für andere Spezies ohne IE.</w:t>
      </w:r>
    </w:p>
    <w:p>
      <w:r>
        <w:rPr>
          <w:b/>
          <w:sz w:val="19"/>
        </w:rPr>
        <w:t xml:space="preserve">Übertragbarkeit: </w:t>
      </w:r>
      <w:r>
        <w:rPr>
          <w:sz w:val="19"/>
        </w:rPr>
        <w:t>Belgisch-italienisches Universitätsklinikum; Systematik auf deutsche Endokarditis-Screening-Protokolle anwendbar.</w:t>
      </w:r>
    </w:p>
    <w:p>
      <w:r>
        <w:rPr>
          <w:color w:val="5A7D3A"/>
          <w:sz w:val="18"/>
        </w:rPr>
        <w:t>https://pubmed.ncbi.nlm.nih.gov/42744415/</w:t>
      </w:r>
    </w:p>
    <w:p>
      <w:pPr>
        <w:pStyle w:val="Heading2"/>
      </w:pPr>
      <w:r>
        <w:t>Spezialisierte Krankenpfleger in Notaufnahme erzielen 92,7 % Genauigkeit beim Akutinfarkt-Screening</w:t>
      </w:r>
    </w:p>
    <w:p>
      <w:r>
        <w:rPr>
          <w:i/>
          <w:color w:val="666666"/>
          <w:sz w:val="18"/>
        </w:rPr>
        <w:t>Shaw C et al.  ·  Open Heart  ·  15.09.2026  ·  PMID 42744414</w:t>
      </w:r>
    </w:p>
    <w:p>
      <w:r>
        <w:t>Britischer Distrikt-Klinik-Evaluationsstudie an 233 Patienten: Vergleich zwischen Diagnosen von Cardiac-Outreach-Practitioners (Spezialkrankenpflegern) außerhalb normaler Geschäftszeiten und finalen Entlassungsdiagnosen durch Kardiologen.</w:t>
      </w:r>
    </w:p>
    <w:p>
      <w:r>
        <w:rPr>
          <w:b/>
        </w:rPr>
        <w:t xml:space="preserve">Ergebnis: </w:t>
      </w:r>
      <w:r>
        <w:t>Exakte diagnostische Konkordanz 92,7 % (216/233). Für akutes Koronarsyndrom: Sensitivität 96,0 %, Spezifität 92,4 %, negativ-prädiktiver Wert 98,0 %, Cohen κ = 0,858 (95%-KI 0,789–0,927). Von 17 diskordanten Fällen führte keine zu verzögerter Eskalation oder Diagnostik.</w:t>
      </w:r>
    </w:p>
    <w:p>
      <w:r>
        <w:rPr>
          <w:b/>
          <w:sz w:val="19"/>
        </w:rPr>
        <w:t xml:space="preserve">Übertragbarkeit: </w:t>
      </w:r>
      <w:r>
        <w:rPr>
          <w:sz w:val="19"/>
        </w:rPr>
        <w:t>UK National Health Service-Daten; Modell auf strukturierte Versorgungspfade in Deutschland anwendbar.</w:t>
      </w:r>
    </w:p>
    <w:p>
      <w:r>
        <w:rPr>
          <w:color w:val="5A7D3A"/>
          <w:sz w:val="18"/>
        </w:rPr>
        <w:t>https://pubmed.ncbi.nlm.nih.gov/42744414/</w:t>
      </w:r>
    </w:p>
    <w:p>
      <w:pPr>
        <w:pStyle w:val="Heading2"/>
      </w:pPr>
      <w:r>
        <w:t>Gen-Silencer Eplontersen wirksam nur ohne parallele TTR-Stabilisator-Therapie bei ATTR-Kardiomyopathie</w:t>
      </w:r>
    </w:p>
    <w:p>
      <w:r>
        <w:rPr>
          <w:i/>
          <w:color w:val="666666"/>
          <w:sz w:val="18"/>
        </w:rPr>
        <w:t>García-Pavía P et al.  ·  Nat Med  ·  30.08.2026  ·  PMID 42742182</w:t>
      </w:r>
    </w:p>
    <w:p>
      <w:r>
        <w:t>Präspezifizierte Sekundäranalyse der Phase-3-Studie CARDIO-TTRansform (n=1.432 ATTR-Kardiomyopathie-Patienten): Randomisierung zu Eplontersen oder Placebo; 57 % unter basaler TTR-Stabilisator-Therapie.</w:t>
      </w:r>
    </w:p>
    <w:p>
      <w:r>
        <w:rPr>
          <w:b/>
        </w:rPr>
        <w:t xml:space="preserve">Ergebnis: </w:t>
      </w:r>
      <w:r>
        <w:t>Primärer Endpunkt (kardiovaskulärer Tod oder rekurrente kardiovaskuläre Ereignisse) zeigte Behandlungs-Wechselwirkung nach Stabilisator-Status (P=0,017). Vorteil ohne Stabilisator (RR 0,71; 95%-KI 0,54–0,93; p=0,012), kein Vorteil mit Stabilisator (RR 1,14; 95%-KI 0,85–1,53; p=0,39). Sicherheitsprofil in beiden Gruppen günstig.</w:t>
      </w:r>
    </w:p>
    <w:p>
      <w:r>
        <w:rPr>
          <w:b/>
          <w:sz w:val="19"/>
        </w:rPr>
        <w:t xml:space="preserve">Übertragbarkeit: </w:t>
      </w:r>
      <w:r>
        <w:rPr>
          <w:sz w:val="19"/>
        </w:rPr>
        <w:t>Internationale Phase-3-Studie; Therapie in Deutschland verordnungsfähig, Ergebnis steuert Kombinationsentscheidungen.</w:t>
      </w:r>
    </w:p>
    <w:p>
      <w:r>
        <w:rPr>
          <w:color w:val="5A7D3A"/>
          <w:sz w:val="18"/>
        </w:rPr>
        <w:t>https://pubmed.ncbi.nlm.nih.gov/42742182/</w:t>
      </w:r>
    </w:p>
    <w:p>
      <w:pPr>
        <w:pStyle w:val="Heading2"/>
      </w:pPr>
      <w:r>
        <w:t>RBM20-Gain-of-Function-Varianten verschlechtern Mitochondrienfunktion und Herzinsuffizienz-Phänotyp</w:t>
      </w:r>
    </w:p>
    <w:p>
      <w:r>
        <w:rPr>
          <w:i/>
          <w:color w:val="666666"/>
          <w:sz w:val="18"/>
        </w:rPr>
        <w:t>Kornienko J et al.  ·  Circulation  ·  15.09.2026  ·  PMID 42741825</w:t>
      </w:r>
    </w:p>
    <w:p>
      <w:r>
        <w:t>Mechanistische Studie bei Mausmodellen mit RBM20-Varianten und humanen induzierten pluripotenten Stammzell-Kardiomyten: Untersuchung der Auswirkung auf Mitochondrial Respiration, Calcium-Handling und ultrastrukturelle Veränderungen.</w:t>
      </w:r>
    </w:p>
    <w:p>
      <w:r>
        <w:rPr>
          <w:b/>
        </w:rPr>
        <w:t xml:space="preserve">Ergebnis: </w:t>
      </w:r>
      <w:r>
        <w:t>RBM20 Gain-of-Function, nicht Loss-of-Function, senkte lösliche Mitochondrienproteine und das Kalzium-Efflux-Regulator TMEM65, führte zu vergrößerten Mitochondrien mit Cristae-Desorganisation, verminderter oxidativer Phosphorylierung und abnormaler Kalzium-Handling. Befunde in humanen Kardiomyten reproduziert.</w:t>
      </w:r>
    </w:p>
    <w:p>
      <w:r>
        <w:rPr>
          <w:b/>
          <w:sz w:val="19"/>
        </w:rPr>
        <w:t xml:space="preserve">Übertragbarkeit: </w:t>
      </w:r>
      <w:r>
        <w:rPr>
          <w:sz w:val="19"/>
        </w:rPr>
        <w:t>Deutsche DZHK-Zentren; Mechanismus erklärt aggressive HF-Phänotypen bei GoF-Varianten.</w:t>
      </w:r>
    </w:p>
    <w:p>
      <w:r>
        <w:rPr>
          <w:color w:val="5A7D3A"/>
          <w:sz w:val="18"/>
        </w:rPr>
        <w:t>https://pubmed.ncbi.nlm.nih.gov/42741825/</w:t>
      </w:r>
    </w:p>
    <w:p>
      <w:pPr>
        <w:pStyle w:val="Heading1"/>
      </w:pPr>
      <w:r>
        <w:t>Aufgenommen am 16.09.2026</w:t>
      </w:r>
    </w:p>
    <w:p>
      <w:pPr>
        <w:pStyle w:val="Heading2"/>
      </w:pPr>
      <w:r>
        <w:t>Künstliche Intelligenz und Herzmuskel-Phänotypen vorhersagen Myokardinfarkt-Risiko in der Langzeitbeobachtung</w:t>
      </w:r>
    </w:p>
    <w:p>
      <w:r>
        <w:rPr>
          <w:i/>
          <w:color w:val="666666"/>
          <w:sz w:val="18"/>
        </w:rPr>
        <w:t>Eur Heart J Cardiovasc Imaging  ·  2026  ·  PMID 42721291</w:t>
      </w:r>
    </w:p>
    <w:p>
      <w:r>
        <w:t>Post-hoc-Analyse der SCOT-HEART-Studie mit 1.736 Teilnehmern untersuchte, ob radiomische Phänotypen aus Herz-CTA das Langzeit-Risiko für Herzinfarkt (Median 8,6 Jahre Follow-up) vorhersagen über konventionelle Risikofaktoren hinaus.</w:t>
      </w:r>
    </w:p>
    <w:p>
      <w:r>
        <w:rPr>
          <w:b/>
        </w:rPr>
        <w:t xml:space="preserve">Ergebnis: </w:t>
      </w:r>
      <w:r>
        <w:t>82 von 1.736 Teilnehmern (4,7%) erlebten während Follow-up tödlichen oder nicht-tödlichen Myokardinfarkt. Radiomische Phänotypen waren assoziiert mit Alter, Geschlecht, Hypertension und Diabetes (p&lt;0,01). Integration radiomischer Merkmale in klinisches Modell verbesserte Diskrimination für zukünftige Myokardinfarkte (C-Index von 0,693 auf 0,722, Δ=0,029, p&lt;0,001) und Modell-Fit (Likelihood-Ratio-Test χ²=13,5, p=0,009).</w:t>
      </w:r>
    </w:p>
    <w:p>
      <w:r>
        <w:rPr>
          <w:b/>
          <w:sz w:val="19"/>
        </w:rPr>
        <w:t xml:space="preserve">Übertragbarkeit: </w:t>
      </w:r>
      <w:r>
        <w:rPr>
          <w:sz w:val="19"/>
        </w:rPr>
        <w:t>Schottische Studie, vergleichbare europäische Gesundheitssysteme.</w:t>
      </w:r>
    </w:p>
    <w:p>
      <w:r>
        <w:rPr>
          <w:color w:val="5A7D3A"/>
          <w:sz w:val="18"/>
        </w:rPr>
        <w:t>https://pubmed.ncbi.nlm.nih.gov/42721291/</w:t>
      </w:r>
    </w:p>
    <w:p>
      <w:pPr>
        <w:pStyle w:val="Heading2"/>
      </w:pPr>
      <w:r>
        <w:t>LMNA-Genotyp und Vorhofflimmern-Risiko in genetischer Kardiomyopathie</w:t>
      </w:r>
    </w:p>
    <w:p>
      <w:r>
        <w:rPr>
          <w:i/>
          <w:color w:val="666666"/>
          <w:sz w:val="18"/>
        </w:rPr>
        <w:t>Circ Heart Fail  ·  2026  ·  PMID 42717878</w:t>
      </w:r>
    </w:p>
    <w:p>
      <w:r>
        <w:t>Beobachtungsstudie von 3.117 Patienten mit genetischer dilatativer Kardiomyopathie (DCM) aus der SHaRe-Registry untersuchte Prävalenz, Inzidenz und Prognosebedeutung von Vorhofflimmern nach Genotyp.</w:t>
      </w:r>
    </w:p>
    <w:p>
      <w:r>
        <w:rPr>
          <w:b/>
        </w:rPr>
        <w:t xml:space="preserve">Ergebnis: </w:t>
      </w:r>
      <w:r>
        <w:t>Von 2.491 AF-freien Patienten mit Follow-up entwickelten 312 (12,5%) während eines Medians von 4,5 Jahren Vorhofflimmern. Kumulative AF-Prävalenz betrug 23,6%. LMNA zeigte die höchste AF-Inzidenz (7,6 pro 100 Patientenjahre) und kumulative AF-Prävalenz (56,7%) und war die einzige Genotyp-Variable unabhängig assoziiert mit inzidentem AF (HR 5,52, 95% KI 3,84-7,95; p&lt;0,001). TTN hatte AF-Inzidenz von 2,1 pro 100 Patientenjahre. AF war unabhängig assoziiert mit erhöhtem Risiko für kombiniertes Endpunkt (HR 1,58, 95% KI 1,29-1,94; p&lt;0,001) einschließlich Herzinsuffizienz, ventrikuläre Arrhythmien und Gesamtsterblichkeit.</w:t>
      </w:r>
    </w:p>
    <w:p>
      <w:r>
        <w:rPr>
          <w:b/>
          <w:sz w:val="19"/>
        </w:rPr>
        <w:t xml:space="preserve">Übertragbarkeit: </w:t>
      </w:r>
      <w:r>
        <w:rPr>
          <w:sz w:val="19"/>
        </w:rPr>
        <w:t>Internationale Studie mit niederländischen/europäischen Zentren, vergleichbar mit deutschen Versorgungssystemen.</w:t>
      </w:r>
    </w:p>
    <w:p>
      <w:r>
        <w:rPr>
          <w:color w:val="5A7D3A"/>
          <w:sz w:val="18"/>
        </w:rPr>
        <w:t>https://pubmed.ncbi.nlm.nih.gov/42717878/</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p>
      <w:pPr>
        <w:pStyle w:val="Heading1"/>
      </w:pPr>
      <w:r>
        <w:t>Aufgenommen am 14.09.2026</w:t>
      </w:r>
    </w:p>
    <w:p>
      <w:pPr>
        <w:pStyle w:val="Heading2"/>
      </w:pPr>
      <w:r>
        <w:t>Adipositas verstärkt Herzinfarkt-Schaden durch gesteigerte myeloide TREM1-Expression</w:t>
      </w:r>
    </w:p>
    <w:p>
      <w:r>
        <w:rPr>
          <w:i/>
          <w:color w:val="666666"/>
          <w:sz w:val="18"/>
        </w:rPr>
        <w:t>Gladow N et al.  ·  Basic Res Cardiol  ·  11.09.2026  ·  PMID 42726202</w:t>
      </w:r>
    </w:p>
    <w:p>
      <w:r>
        <w:t>Experimentelle Studie an diätinduziert adipösen und schlanken Mäusen beiden Geschlechts zur Rolle von Myelopoiese und TREM1-Blockade nach experimentellem Herzinfarkt.</w:t>
      </w:r>
    </w:p>
    <w:p>
      <w:r>
        <w:rPr>
          <w:b/>
        </w:rPr>
        <w:t xml:space="preserve">Ergebnis: </w:t>
      </w:r>
      <w:r>
        <w:t>Adipöse Mäuse zeigten höhere Körpergewichte, signifikant erhöhte Myelopoiese in der Milz und höhere periphere Leukozyten als schlanke Weibchen. Überlebensvorteil bei schlanken Tieren: 56 Tage nach MI 87% Überleben vs. 58% bei adipösen (p&lt;0,05). Adipöse Mäuse: erhöhte infarkt-induzierte Myelopoiese, höhere Granulozyt-, Monozyten- und pro-inflammatorische Makrophagen-Zahl im Myokard. TREM1-Expression verstärkt bei adipösen Mäusen am Tag 5 nach MI (RNA-Sequenzierung und Immunohistologie). TREM1-Blockade führte zu signifikant besserer Erhaltung der systolischen Funktion bei adipösen Mäusen.</w:t>
      </w:r>
    </w:p>
    <w:p>
      <w:r>
        <w:rPr>
          <w:b/>
          <w:sz w:val="19"/>
        </w:rPr>
        <w:t xml:space="preserve">Übertragbarkeit: </w:t>
      </w:r>
      <w:r>
        <w:rPr>
          <w:sz w:val="19"/>
        </w:rPr>
        <w:t>Deutsche Grundlagenforschung (Würzburg), erkennbarer Weg zur Therapie (TREM1-Blockade)</w:t>
      </w:r>
    </w:p>
    <w:p>
      <w:r>
        <w:rPr>
          <w:color w:val="5A7D3A"/>
          <w:sz w:val="18"/>
        </w:rPr>
        <w:t>https://pubmed.ncbi.nlm.nih.gov/42726202/</w:t>
      </w:r>
    </w:p>
    <w:p>
      <w:pPr>
        <w:pStyle w:val="Heading2"/>
      </w:pPr>
      <w:r>
        <w:t>Geschlechtsspezifische Unterschiede bei akuter Herzinsuffizienz: Präsentation, Befunde und Genesung</w:t>
      </w:r>
    </w:p>
    <w:p>
      <w:r>
        <w:rPr>
          <w:i/>
          <w:color w:val="666666"/>
          <w:sz w:val="18"/>
        </w:rPr>
        <w:t>Khoraizat A et al.  ·  ESC Heart Fail  ·  09.09.2026  ·  PMID 42714581</w:t>
      </w:r>
    </w:p>
    <w:p>
      <w:r>
        <w:t>Prospektive observationsstudie zu Geschlechtsunterschieden in Klinik, Bildgebung und Kurzzeitverlauf bei 567 hospitalisierten Patienten mit akuter Herzinsuffizienz in Dänemark.</w:t>
      </w:r>
    </w:p>
    <w:p>
      <w:r>
        <w:rPr>
          <w:b/>
        </w:rPr>
        <w:t xml:space="preserve">Ergebnis: </w:t>
      </w:r>
      <w:r>
        <w:t>248 Frauen (43,7%) vs. 319 Männer, Durchschnittsalter 78,2±11,6 Jahre. Frauen älter, häufiger Vorhofflimmern (p&lt;0,05) und Hypertonie, Männer häufiger dyslipidämisch und mit Herzinfarkt-Anamnese. Frauen präsentierten häufiger mit Palpitationen/Ödemen, Männer mit Brustschmerz. Frauen: höhere LVEF (38% vs. 35%; p&lt;0,001), höhere GLS-Absolutwerte (10,5±4,7% vs. 9,7±4,4%; p=0,04), niedrigerer LV-Mass-Index (113 vs. 136 g/m²; p&lt;0,001). Männer höhere B-Linien-Zahl in Lungencsonografie (5 [1-12] vs. 2 [0-9]; p=0,003). Kurzzeitverlauf und 180-Tage-Ergebnisse vergleichbar zwischen Geschlechtern.</w:t>
      </w:r>
    </w:p>
    <w:p>
      <w:r>
        <w:rPr>
          <w:b/>
          <w:sz w:val="19"/>
        </w:rPr>
        <w:t xml:space="preserve">Übertragbarkeit: </w:t>
      </w:r>
      <w:r>
        <w:rPr>
          <w:sz w:val="19"/>
        </w:rPr>
        <w:t>Europäisches (dänisches) Gesundheitssystem, skandinavische Versorgungspraxis</w:t>
      </w:r>
    </w:p>
    <w:p>
      <w:r>
        <w:rPr>
          <w:color w:val="5A7D3A"/>
          <w:sz w:val="18"/>
        </w:rPr>
        <w:t>https://pubmed.ncbi.nlm.nih.gov/42714581/</w:t>
      </w:r>
    </w:p>
    <w:p>
      <w:pPr>
        <w:pStyle w:val="Heading2"/>
      </w:pPr>
      <w:r>
        <w:t>Genetische Varianten erhöhen Herzinsuffizienz-Risiko bei hypoplastischem Linksherz 9-fach</w:t>
      </w:r>
    </w:p>
    <w:p>
      <w:r>
        <w:rPr>
          <w:i/>
          <w:color w:val="666666"/>
          <w:sz w:val="18"/>
        </w:rPr>
        <w:t>Balint BN et al.  ·  J Am Coll Cardiol  ·  08.09.2026  ·  PMID 42714046</w:t>
      </w:r>
    </w:p>
    <w:p>
      <w:r>
        <w:t>Prospektive US-Multizenterstudie (Duke, UNC, Nationwide, Vanderbilt) zur Assoziation seltener Varianten in Kardiomyopathie-Genen mit früher Herzinsuffizienz-Entwicklung bei Neugeborenen mit hypoplastischem Linksherz.</w:t>
      </w:r>
    </w:p>
    <w:p>
      <w:r>
        <w:rPr>
          <w:b/>
        </w:rPr>
        <w:t xml:space="preserve">Ergebnis: </w:t>
      </w:r>
      <w:r>
        <w:t>35 Neugeborene prospektiv eingeschlossen: 7 (20%) entwickelten schwere HF, 10 (28,6%) medizinisch behandelte HF, 18 (51,4%) blieben HF-frei. Pathogene/wahrscheinlich pathogene Varianten assoziiert mit 9-fach erhöhtem Risiko für schwere HF (p=0,02). 67% der schweren HF-Ereignisse im ersten Lebensmonat. Externe Replikation an Nationwide Children's (11-fach erhöht; p&lt;0,05) und Vanderbilt (3-fach; p&lt;0,05). Ambispektive Kohorte (ältere Patienten) zeigten abgeschwächte Assoziationen (p&gt;0,05).</w:t>
      </w:r>
    </w:p>
    <w:p>
      <w:r>
        <w:rPr>
          <w:b/>
          <w:sz w:val="19"/>
        </w:rPr>
        <w:t xml:space="preserve">Übertragbarkeit: </w:t>
      </w:r>
      <w:r>
        <w:rPr>
          <w:sz w:val="19"/>
        </w:rPr>
        <w:t>USA-Studie, aber genetische Befunde universell; Risikostratifizierung prinzipiell auf Deutschland übertragbar</w:t>
      </w:r>
    </w:p>
    <w:p>
      <w:r>
        <w:rPr>
          <w:color w:val="5A7D3A"/>
          <w:sz w:val="18"/>
        </w:rPr>
        <w:t>https://pubmed.ncbi.nlm.nih.gov/42714046/</w:t>
      </w:r>
    </w:p>
    <w:p>
      <w:pPr>
        <w:pStyle w:val="Heading2"/>
      </w:pPr>
      <w:r>
        <w:t>Trikuspidalinsuffizienz in ATTR-Kardiomyopathie: Neue quantitative Prognosegrenzwerte</w:t>
      </w:r>
    </w:p>
    <w:p>
      <w:r>
        <w:rPr>
          <w:i/>
          <w:color w:val="666666"/>
          <w:sz w:val="18"/>
        </w:rPr>
        <w:t>Hauptmann L et al.  ·  JAMA Cardiol  ·  31.08.2026  ·  PMID 42671012</w:t>
      </w:r>
    </w:p>
    <w:p>
      <w:r>
        <w:t>Internationale multizentrische Kohortenstudie in Österreich, Italien, Deutschland und Niederlanden zur Ableitung krankheitsspezifischer Prognose-Schwellwerte für Trikuspidalinsuffizienz bei Transthyretin-Amyloid-Kardiomyopathie.</w:t>
      </w:r>
    </w:p>
    <w:p>
      <w:r>
        <w:rPr>
          <w:b/>
        </w:rPr>
        <w:t xml:space="preserve">Ergebnis: </w:t>
      </w:r>
      <w:r>
        <w:t>1124 Patienten (Derivation 745, Validation 379); 324/1124 Patienten (28,8%) starben, 251 (22,3%) hospitalisiert wegen Herzinsuffizienz über Mediann-Nachverfolgung von 25,2 Monaten. Neue Schwellwerte (VCW ≥5 mm, EROA ≥0,25 cm², RegVol ≥20 mL) identifizierten 334 Patienten (29,7%) mit hohem/extremen Risiko vs. 130 (11,6%) nach Leitliniendefinition. Hazard Ratio für Mortalität 1,41 (95%-KI 1,23-1,62) pro Stadium. Überlegene Diskriminierung gegenüber Standarddefinitionen.</w:t>
      </w:r>
    </w:p>
    <w:p>
      <w:r>
        <w:rPr>
          <w:b/>
          <w:sz w:val="19"/>
        </w:rPr>
        <w:t xml:space="preserve">Übertragbarkeit: </w:t>
      </w:r>
      <w:r>
        <w:rPr>
          <w:sz w:val="19"/>
        </w:rPr>
        <w:t>Europäische multizentrische Daten, vergleichbare Versorgungssysteme in D-A-CH</w:t>
      </w:r>
    </w:p>
    <w:p>
      <w:r>
        <w:rPr>
          <w:color w:val="5A7D3A"/>
          <w:sz w:val="18"/>
        </w:rPr>
        <w:t>https://pubmed.ncbi.nlm.nih.gov/42671012/</w:t>
      </w:r>
    </w:p>
    <w:p>
      <w:pPr>
        <w:pStyle w:val="Heading2"/>
      </w:pPr>
      <w:r>
        <w:t>Transkatheter-Trikuspidalklappnreparatur reduziert Sterblichkeit und Herzinsuffizienz-Hospitalisierung</w:t>
      </w:r>
    </w:p>
    <w:p>
      <w:r>
        <w:rPr>
          <w:i/>
          <w:color w:val="666666"/>
          <w:sz w:val="18"/>
        </w:rPr>
        <w:t>Hausleiter J et al.  ·  N Engl J Med  ·  30.08.2026  ·  PMID 42670975</w:t>
      </w:r>
    </w:p>
    <w:p>
      <w:r>
        <w:t>Randomisierte Studie zum Vergleich von transkatheter Trikuspidalklappnreparatur plus Standardtherapie gegen Standardtherapie allein bei schwerer Trikuspidalinsuffizienz in Deutschland und international.</w:t>
      </w:r>
    </w:p>
    <w:p>
      <w:r>
        <w:rPr>
          <w:b/>
        </w:rPr>
        <w:t xml:space="preserve">Ergebnis: </w:t>
      </w:r>
      <w:r>
        <w:t>Win-Ratio 2,42 (95%-KI 1,76-3,33; p&lt;0,001) für primären kombiniert Endpunkt nach 1 Jahr. Freiheit von Tod oder Herzinsuffizienz-Hospitalisierung über 3 Jahre: 52,4% vs. 21,0% (Hazard Ratio 0,40; 95%-KI 0,29-0,55; p&lt;0,001). Schwere unerwünschte Ereignisse innerhalb 30 Tage in 5,9% der Interventionsgruppe. Praxisveränderndes Ergebnis mit harten Endpunkten.</w:t>
      </w:r>
    </w:p>
    <w:p>
      <w:r>
        <w:rPr>
          <w:b/>
          <w:sz w:val="19"/>
        </w:rPr>
        <w:t xml:space="preserve">Übertragbarkeit: </w:t>
      </w:r>
      <w:r>
        <w:rPr>
          <w:sz w:val="19"/>
        </w:rPr>
        <w:t>Deutsche Studie, DZHK-finanziert, deutsches Patientenkollektiv, direkt übertragbar</w:t>
      </w:r>
    </w:p>
    <w:p>
      <w:r>
        <w:rPr>
          <w:color w:val="5A7D3A"/>
          <w:sz w:val="18"/>
        </w:rPr>
        <w:t>https://pubmed.ncbi.nlm.nih.gov/42670975/</w:t>
      </w:r>
    </w:p>
    <w:p>
      <w:pPr>
        <w:pStyle w:val="Heading2"/>
      </w:pPr>
      <w:r>
        <w:t>Zirkadianer Druck im Vorhof: Abendanstieg auch unter optimierter Diuretika-Therapie</w:t>
      </w:r>
    </w:p>
    <w:p>
      <w:r>
        <w:rPr>
          <w:i/>
          <w:color w:val="666666"/>
          <w:sz w:val="18"/>
        </w:rPr>
        <w:t>Amir Y et al.  ·  Eur J Heart Fail  ·  31.08.2026  ·  PMID 42670644</w:t>
      </w:r>
    </w:p>
    <w:p>
      <w:r>
        <w:t>Observationsstudie mit implantierbarem Drucksensor zu täglichen Schwankungen des linksatrialen Drucks bei ambulanten Herzinsuffizienz-Patienten über 25,5 Monate.</w:t>
      </w:r>
    </w:p>
    <w:p>
      <w:r>
        <w:rPr>
          <w:b/>
        </w:rPr>
        <w:t xml:space="preserve">Ergebnis: </w:t>
      </w:r>
      <w:r>
        <w:t>Über &gt;15.500 Messtage bei 73 Patienten: Medianer linksatrialer Druck abends 12,4 [6,8-18,3] mmHg vs. morgens 10,7 [5,5-17,3] mmHg (p&lt;0,01). Höhere Diuretika-Dosis oder Zweimal-Gabe modifizierte Rhythmus nicht (p=0,98 bzw. p=0,50). Patienten mit akuter Dekompensation zeigten höhere Drücke (14,3 [9,5-19,9] vs. 10,4 [5,4-17,3] mmHg; p&lt;0,01). LAP unabhängig mit erhöhtem Dekompensationsrisiko assoziiert (OR 1,40; 95%-KI 1,10-1,78; p&lt;0,01).</w:t>
      </w:r>
    </w:p>
    <w:p>
      <w:r>
        <w:rPr>
          <w:b/>
          <w:sz w:val="19"/>
        </w:rPr>
        <w:t xml:space="preserve">Übertragbarkeit: </w:t>
      </w:r>
      <w:r>
        <w:rPr>
          <w:sz w:val="19"/>
        </w:rPr>
        <w:t>Remote-Monitoring-Technologie, aber Zentren überregional; Dekompensationserkennung relevant für deutsches DMP</w:t>
      </w:r>
    </w:p>
    <w:p>
      <w:r>
        <w:rPr>
          <w:color w:val="5A7D3A"/>
          <w:sz w:val="18"/>
        </w:rPr>
        <w:t>https://pubmed.ncbi.nlm.nih.gov/42670644/</w:t>
      </w:r>
    </w:p>
    <w:p>
      <w:pPr>
        <w:pStyle w:val="Heading1"/>
      </w:pPr>
      <w:r>
        <w:t>Aufgenommen am 13.09.2026</w:t>
      </w:r>
    </w:p>
    <w:p>
      <w:pPr>
        <w:pStyle w:val="Heading2"/>
      </w:pPr>
      <w:r>
        <w:t>P2Y₁₂-Hemmer vor Angiografie: Weniger STEMI, aber auch weniger Blutungen bei längeren Wartezeiten</w:t>
      </w:r>
    </w:p>
    <w:p>
      <w:r>
        <w:rPr>
          <w:i/>
          <w:color w:val="666666"/>
          <w:sz w:val="18"/>
        </w:rPr>
        <w:t>Hesse K et al.  ·  Open Heart  ·  12.09.2026  ·  PMID 42731862</w:t>
      </w:r>
    </w:p>
    <w:p>
      <w:r>
        <w:t>Vergleich zweier Strategien bei NSTE-ACS: Routinemäßige Gabe eines P2Y₁₂-Hemmers vor Herzkatheter versus Zurückhaltung bis zur Anatomiekenntnis im britischen Versorgungssystem mit längeren Wartezeiten (Median 3,6 Tage).</w:t>
      </w:r>
    </w:p>
    <w:p>
      <w:r>
        <w:rPr>
          <w:b/>
        </w:rPr>
        <w:t xml:space="preserve">Ergebnis: </w:t>
      </w:r>
      <w:r>
        <w:t>Bei Verzicht auf Vorbehandlung: In-hospital-STEMI stieg von 0,4% auf 1,7% (adjustierte OR 4,40; 95%-KI 1,78–13,3), aber actionable Blutungsereignisse sanken von 0,9% auf 0,2% (adjustierte OR 0,18; 95%-KI 0,03–0,70). Längere Wartezeiten verändern das Nutzen-Risiko-Verhältnis gegenüber den Leitlinien, die auf kürzeren Katheterwartezeiten basieren.</w:t>
      </w:r>
    </w:p>
    <w:p>
      <w:r>
        <w:rPr>
          <w:b/>
          <w:sz w:val="19"/>
        </w:rPr>
        <w:t xml:space="preserve">Übertragbarkeit: </w:t>
      </w:r>
      <w:r>
        <w:rPr>
          <w:sz w:val="19"/>
        </w:rPr>
        <w:t>UK-Klinikdaten mit wesentlich längeren Wartezeiten als in Deutschland üblich.</w:t>
      </w:r>
    </w:p>
    <w:p>
      <w:r>
        <w:rPr>
          <w:color w:val="5A7D3A"/>
          <w:sz w:val="18"/>
        </w:rPr>
        <w:t>https://pubmed.ncbi.nlm.nih.gov/42731862/</w:t>
      </w:r>
    </w:p>
    <w:p>
      <w:pPr>
        <w:pStyle w:val="Heading2"/>
      </w:pPr>
      <w:r>
        <w:t>HFpEF-Risikoscores für Primärversorgung in HIV-Hochprävalenzregion anwendbar</w:t>
      </w:r>
    </w:p>
    <w:p>
      <w:r>
        <w:rPr>
          <w:i/>
          <w:color w:val="666666"/>
          <w:sz w:val="18"/>
        </w:rPr>
        <w:t>Honwana F et al.  ·  Open Heart  ·  12.09.2026  ·  PMID 42731860</w:t>
      </w:r>
    </w:p>
    <w:p>
      <w:r>
        <w:t>Entwicklung und interne Validierung eines nomogramm-basierten HFpEF-Vorhersage-Scores für die Primärversorgung in Südafrika unter Berücksichtigung HIV-Status, klinischer Faktoren, BNP und EKG.</w:t>
      </w:r>
    </w:p>
    <w:p>
      <w:r>
        <w:rPr>
          <w:b/>
        </w:rPr>
        <w:t xml:space="preserve">Ergebnis: </w:t>
      </w:r>
      <w:r>
        <w:t>Nomogramm mit Alter, Geschlecht, HIV-Status, Rauchen, Hypertonie, BMI und BNP: Overfitting-korrigierte AUC 0,77 mit guter Kalibrierung. Von 1.508 Teilnehmern (77% Frauen, 42% adipös) erfüllten 7,8% HFpEF-Kriterien (118 Patienten; 8,4% bei HIV-positiv, 6,6% HIV-negativ).</w:t>
      </w:r>
    </w:p>
    <w:p>
      <w:r>
        <w:rPr>
          <w:b/>
          <w:sz w:val="19"/>
        </w:rPr>
        <w:t xml:space="preserve">Übertragbarkeit: </w:t>
      </w:r>
      <w:r>
        <w:rPr>
          <w:sz w:val="19"/>
        </w:rPr>
        <w:t>Südafrika; Score als praktisches Werkzeug für ressourcenlimitierte Primärsettings adaptierbar.</w:t>
      </w:r>
    </w:p>
    <w:p>
      <w:r>
        <w:rPr>
          <w:color w:val="5A7D3A"/>
          <w:sz w:val="18"/>
        </w:rPr>
        <w:t>https://pubmed.ncbi.nlm.nih.gov/42731860/</w:t>
      </w:r>
    </w:p>
    <w:p>
      <w:pPr>
        <w:pStyle w:val="Heading2"/>
      </w:pPr>
      <w:r>
        <w:t>Ultraschnelle ambulante TAVI bei akutem aortalen Klappensyndrom spart Krankenhausbetten</w:t>
      </w:r>
    </w:p>
    <w:p>
      <w:r>
        <w:rPr>
          <w:i/>
          <w:color w:val="666666"/>
          <w:sz w:val="18"/>
        </w:rPr>
        <w:t>Vibhishanan J et al.  ·  Open Heart  ·  12.09.2026  ·  PMID 42731859</w:t>
      </w:r>
    </w:p>
    <w:p>
      <w:r>
        <w:t>Evaluierung eines neuen Versorgungspfads für ausgewählte, stabilisierte Patienten mit akutem aortalen Stenose-Syndroms (AVS) und geplantem TAVI-Einsatz: ambulante Vorbereitung mit Entlassung nach initialem Assessment vs. stationärer Weg in einer britischen Universitätsklinik.</w:t>
      </w:r>
    </w:p>
    <w:p>
      <w:r>
        <w:rPr>
          <w:b/>
        </w:rPr>
        <w:t xml:space="preserve">Ergebnis: </w:t>
      </w:r>
      <w:r>
        <w:t>Von 105 für den ambulanten Weg evaluierten Patienten wurden 58 (55,2%) ambulant und 47 (44,8%) stationär behandelt. Ambulante Gruppe: mediane Gesamtkrankenhaus-Liegedauer 12 Tage (IQR 7–17) vs. stationär 20 Tage (IQR 15–32; p&lt;0,0001), Einsparung von 210 Bettentagen. Zeit von Zuweisung bis TAVI unterschied sich nicht (ambulant 15 vs. stationär 14 Tage; p=0,22). Primärer Sicherheitsendpunkt (Tod oder akute Dekompensation vor TAVI) war gleich (ambulant 6,9% vs. stationär 6,4%; HR 0,97; 95%-KI 0,22–4,34; p=0,97).</w:t>
      </w:r>
    </w:p>
    <w:p>
      <w:r>
        <w:rPr>
          <w:b/>
          <w:sz w:val="19"/>
        </w:rPr>
        <w:t xml:space="preserve">Übertragbarkeit: </w:t>
      </w:r>
      <w:r>
        <w:rPr>
          <w:sz w:val="19"/>
        </w:rPr>
        <w:t>UK-Klinik; Konzept auf vergleichbare europäische Zentren übertragbar, bedarf Validierung.</w:t>
      </w:r>
    </w:p>
    <w:p>
      <w:r>
        <w:rPr>
          <w:color w:val="5A7D3A"/>
          <w:sz w:val="18"/>
        </w:rPr>
        <w:t>https://pubmed.ncbi.nlm.nih.gov/42731859/</w:t>
      </w:r>
    </w:p>
    <w:p>
      <w:pPr>
        <w:pStyle w:val="Heading2"/>
      </w:pPr>
      <w:r>
        <w:t>Supplementale Sauerstoffgabe bei akuter Herzinsuffizienz: Weniger ist mehr</w:t>
      </w:r>
    </w:p>
    <w:p>
      <w:r>
        <w:rPr>
          <w:i/>
          <w:color w:val="666666"/>
          <w:sz w:val="18"/>
        </w:rPr>
        <w:t>Galluzzo A et al.  ·  Eur Heart J Acute Cardiovasc Care  ·  08.09.2026  ·  PMID 42708882</w:t>
      </w:r>
    </w:p>
    <w:p>
      <w:r>
        <w:t>Editorium zu Evidenz über Sauerstoff in akuter Herzinsuffizienz; Diskussion, ob weniger Sauerstoff bessere Outcomes ermöglicht.</w:t>
      </w:r>
    </w:p>
    <w:p>
      <w:r>
        <w:rPr>
          <w:b/>
        </w:rPr>
        <w:t xml:space="preserve">Ergebnis: </w:t>
      </w:r>
      <w:r>
        <w:t>Kein konkretes Ergebnis im Abstract berichtet; nur Ankündigung des Themas ohne quantitative Befunde oder definitive Empfehlungen.</w:t>
      </w:r>
    </w:p>
    <w:p>
      <w:r>
        <w:rPr>
          <w:b/>
          <w:sz w:val="19"/>
        </w:rPr>
        <w:t xml:space="preserve">Übertragbarkeit: </w:t>
      </w:r>
      <w:r>
        <w:rPr>
          <w:sz w:val="19"/>
        </w:rPr>
        <w:t>Erfüllt Auswahlkriterium nicht; kein benennbares Ergebnis.</w:t>
      </w:r>
    </w:p>
    <w:p>
      <w:r>
        <w:rPr>
          <w:color w:val="5A7D3A"/>
          <w:sz w:val="18"/>
        </w:rPr>
        <w:t>https://pubmed.ncbi.nlm.nih.gov/42708882/</w:t>
      </w:r>
    </w:p>
    <w:p>
      <w:pPr>
        <w:pStyle w:val="Heading2"/>
      </w:pPr>
      <w:r>
        <w:t>ASTA-Score beste psychometrische Validierung unter AF-Symptom-Schwere-Messgeräten</w:t>
      </w:r>
    </w:p>
    <w:p>
      <w:r>
        <w:rPr>
          <w:i/>
          <w:color w:val="666666"/>
          <w:sz w:val="18"/>
        </w:rPr>
        <w:t>Ogendo JJ et al.  ·  Europace  ·  08.09.2026  ·  PMID 42706219</w:t>
      </w:r>
    </w:p>
    <w:p>
      <w:r>
        <w:t>Systematischer Review und COSMIN-Bewertung von Patient-Reported Outcome Measures (PROMs) für Vorhofflimmern; Evaluation von sechs Symptom-Schwere-Instrumenten (AFSymp, AFS/B, AFSS, ASTA, AF6, SCL) und deren Messeigenschaften.</w:t>
      </w:r>
    </w:p>
    <w:p>
      <w:r>
        <w:rPr>
          <w:b/>
        </w:rPr>
        <w:t xml:space="preserve">Ergebnis: </w:t>
      </w:r>
      <w:r>
        <w:t>709 Publikationen identifizierten 101 PROMs; sechs Symptom-Schwere-Scores wurden psychometrisch bewertet. ASTA zeigte die meiste Validierungseviden und größte Sicherheit bei Inhaltsvalidität sowie interne Konsistenz. COSMIN-Bewertungen enthüllten kritische Lücken in Responsiveness und kulturübergreifender Validität. Empfehlung: COSMIN-konforme Validierung aller PROMs vor Routineintegration in AF-Versorgung.</w:t>
      </w:r>
    </w:p>
    <w:p>
      <w:r>
        <w:rPr>
          <w:b/>
          <w:sz w:val="19"/>
        </w:rPr>
        <w:t xml:space="preserve">Übertragbarkeit: </w:t>
      </w:r>
      <w:r>
        <w:rPr>
          <w:sz w:val="19"/>
        </w:rPr>
        <w:t>Europa; Systematik übertragbar auf deutsches Setting für Versorgungsqualität und Patient-Reported Outcomes.</w:t>
      </w:r>
    </w:p>
    <w:p>
      <w:r>
        <w:rPr>
          <w:color w:val="5A7D3A"/>
          <w:sz w:val="18"/>
        </w:rPr>
        <w:t>https://pubmed.ncbi.nlm.nih.gov/42706219/</w:t>
      </w:r>
    </w:p>
    <w:p>
      <w:pPr>
        <w:pStyle w:val="Heading2"/>
      </w:pPr>
      <w:r>
        <w:t>Erhöhte TMAO und PAGln prognostizieren Sterblichkeit über HFrEF und HFpEF hinweg</w:t>
      </w:r>
    </w:p>
    <w:p>
      <w:r>
        <w:rPr>
          <w:i/>
          <w:color w:val="666666"/>
          <w:sz w:val="18"/>
        </w:rPr>
        <w:t>Koeckerling D et al.  ·  Eur J Heart Fail  ·  01.09.2026  ·  PMID 42677938</w:t>
      </w:r>
    </w:p>
    <w:p>
      <w:r>
        <w:t>Systematischer Review und Meta-Analyse zur prognostischen Assoziation von Darm-Mikrobiom-Metaboliten (TMAO, Phenylacetylglutamin) mit Herzinsuffizienz-Outcomes; Pooling von 20 Studien mit 17.715 Patienten.</w:t>
      </w:r>
    </w:p>
    <w:p>
      <w:r>
        <w:rPr>
          <w:b/>
        </w:rPr>
        <w:t xml:space="preserve">Ergebnis: </w:t>
      </w:r>
      <w:r>
        <w:t>Erhöhtes Trimethylamin-N-oxid (TMAO) assoziiert mit Gesamtsterblichkeit (HR 1,72; 95%-KI 1,42–2,08) und Major Adverse Cardiac Events (HR 1,60; 95%-KI 1,44–1,78) über HFrEF (HR 2,17; 95%-KI 1,68–2,81) und HFpEF (HR 1,55; 95%-KI 0,92–2,61) hinweg. Erhöhtes Phenylacetylglutamin (PAGln) ebenfalls mit Mortalität (HR 1,60; 95%-KI 1,33–1,94) und MACE (HR 1,65; 95%-KI 1,37–1,99) assoziiert. Unterschiede durch Alter, NT-proBNP, Nierenfunktion oder BMI nicht signifikant.</w:t>
      </w:r>
    </w:p>
    <w:p>
      <w:r>
        <w:rPr>
          <w:b/>
          <w:sz w:val="19"/>
        </w:rPr>
        <w:t xml:space="preserve">Übertragbarkeit: </w:t>
      </w:r>
      <w:r>
        <w:rPr>
          <w:sz w:val="19"/>
        </w:rPr>
        <w:t>Meta-Analyse europäischer und internationaler Kohorten; Biomarker auf Routinetauglichkeit zu prüfen.</w:t>
      </w:r>
    </w:p>
    <w:p>
      <w:r>
        <w:rPr>
          <w:color w:val="5A7D3A"/>
          <w:sz w:val="18"/>
        </w:rPr>
        <w:t>https://pubmed.ncbi.nlm.nih.gov/42677938/</w:t>
      </w:r>
    </w:p>
    <w:p>
      <w:pPr>
        <w:pStyle w:val="Heading2"/>
      </w:pPr>
      <w:r>
        <w:t>Schrittmacher mit AV-Knoten-Ablation besser als PVI bei älteren Patienten mit persistentem Vorhofflimmern</w:t>
      </w:r>
    </w:p>
    <w:p>
      <w:r>
        <w:rPr>
          <w:i/>
          <w:color w:val="666666"/>
          <w:sz w:val="18"/>
        </w:rPr>
        <w:t>Boehmer AA et al.  ·  Eur Heart J  ·  31.08.2026  ·  PMID 42671117</w:t>
      </w:r>
    </w:p>
    <w:p>
      <w:r>
        <w:t>Randomisierte Studie (ABLATE versus PACE) in Deutschland und Österreich: Pacemaker-Implantation mit Atrioventricular-Node-Ablation (PM+AVNA) vs. Pulmonalvenenisolation (PVI) bei älteren Patienten (≥75 Jahre) mit symptomatischem persistentem Vorhofflimmern.</w:t>
      </w:r>
    </w:p>
    <w:p>
      <w:r>
        <w:rPr>
          <w:b/>
        </w:rPr>
        <w:t xml:space="preserve">Ergebnis: </w:t>
      </w:r>
      <w:r>
        <w:t>Bei 12-Monaten-Follow-up: Primärer Endpunkt (Hospitalisierung wegen Arrhythmie, Herzinsuffizienz, elektrische Kardioversion oder CRT-Upgrade) trat bei 24% (PM+AVNA) vs. 46% (PVI) auf (Hazard Ratio 0,45; 95%-KI 0,27–0,74; p=0,002). PM+AVNA zeigte weniger AF-Hospitalisierungen und Kardioversionen, aber mehr HF-Hospitalisierungen. Mortalität und Lebensqualität unterschieden sich nicht.</w:t>
      </w:r>
    </w:p>
    <w:p>
      <w:r>
        <w:rPr>
          <w:b/>
          <w:sz w:val="19"/>
        </w:rPr>
        <w:t xml:space="preserve">Übertragbarkeit: </w:t>
      </w:r>
      <w:r>
        <w:rPr>
          <w:sz w:val="19"/>
        </w:rPr>
        <w:t>Deutsches und österreichisches Gesundheitssystem, direkt übertragbar auf Altersstruktur und Leitlinien.</w:t>
      </w:r>
    </w:p>
    <w:p>
      <w:r>
        <w:rPr>
          <w:color w:val="5A7D3A"/>
          <w:sz w:val="18"/>
        </w:rPr>
        <w:t>https://pubmed.ncbi.nlm.nih.gov/42671117/</w:t>
      </w:r>
    </w:p>
    <w:p>
      <w:pPr>
        <w:pStyle w:val="Heading1"/>
      </w:pPr>
      <w:r>
        <w:t>Aufgenommen am 11.09.2026</w:t>
      </w:r>
    </w:p>
    <w:p>
      <w:pPr>
        <w:pStyle w:val="Heading2"/>
      </w:pPr>
      <w:r>
        <w:t>Nur Vorhofflimmern ist nach STEMI mit reduzierter EF unabhängig mit erhöhter Mortalität assoziiert; Kammertachykardien sind seltener als erwartet</w:t>
      </w:r>
    </w:p>
    <w:p>
      <w:r>
        <w:rPr>
          <w:i/>
          <w:color w:val="666666"/>
          <w:sz w:val="18"/>
        </w:rPr>
        <w:t>Jiménez-Candil J et al.  ·  JACC Clin Electrophysiol  ·  26.08.2026  ·  PMID 42720633</w:t>
      </w:r>
    </w:p>
    <w:p>
      <w:r>
        <w:t>Multizenterstudie (TeVeO-Register) an 224 STEMI-Überlebenden mit EF ≤40 % am Tag ≥4, die kontinuierliches implantierbares Monitoring nach Entlassung mit Remote-Telemetrie über Median 3,1 Jahre durchgeführt hat.</w:t>
      </w:r>
    </w:p>
    <w:p>
      <w:r>
        <w:rPr>
          <w:b/>
        </w:rPr>
        <w:t xml:space="preserve">Ergebnis: </w:t>
      </w:r>
      <w:r>
        <w:t>Mortalität 3,7 pro 100 Patientenjahre; ohne plötzliche arrhythmische Todesfälle. Bei 6 Monaten ICD bei 25 (11 %) implantiert. Während Follow-up 119 (53 %) ≥1 ambulante Arrhythmie: 39 (17 %) Vorhofflimmern, 35 (16 %) NSVT, 33 (15 %) Pausen &gt;3 sec, 5 (2,2 %) nachgewiesene VT/ICD-Therapie. Nur Vorhofflimmern unabhängig mit erhöhter Mortalität assoziiert (adj. HR=2,5; p=0,04). NSVT-Inzidenz 5,4/100 PY, VT/ICD-Therapie 0,9/100 PY.</w:t>
      </w:r>
    </w:p>
    <w:p>
      <w:r>
        <w:rPr>
          <w:b/>
          <w:sz w:val="19"/>
        </w:rPr>
        <w:t xml:space="preserve">Übertragbarkeit: </w:t>
      </w:r>
      <w:r>
        <w:rPr>
          <w:sz w:val="19"/>
        </w:rPr>
        <w:t>Spanische Multizenterstudie mit etabliertem Register; Real-World-Evidenz zum Post-STEMI-Arrhythmie-Phänotyp.</w:t>
      </w:r>
    </w:p>
    <w:p>
      <w:r>
        <w:rPr>
          <w:color w:val="5A7D3A"/>
          <w:sz w:val="18"/>
        </w:rPr>
        <w:t>https://pubmed.ncbi.nlm.nih.gov/42720633/</w:t>
      </w:r>
    </w:p>
    <w:p>
      <w:pPr>
        <w:pStyle w:val="Heading2"/>
      </w:pPr>
      <w:r>
        <w:t>Stressechokardiographie mit LA-Strain verbessert HFpEF-Diagnose und reduziert Invasivtestungen um etwa 30 Prozent</w:t>
      </w:r>
    </w:p>
    <w:p>
      <w:r>
        <w:rPr>
          <w:i/>
          <w:color w:val="666666"/>
          <w:sz w:val="18"/>
        </w:rPr>
        <w:t>Harada T et al.  ·  Eur Heart J  ·  10.09.2026  ·  PMID 42720269</w:t>
      </w:r>
    </w:p>
    <w:p>
      <w:r>
        <w:t>Multizenterstudie an 482 Patienten mit Dyspnoe unklarer Ursache mit invasivem Belastungstest und simultaner Echokardiographie zur Validierung eines verbesserten diagnostischen Algorithmus für HFpEF mittels Stressecho und Vorhofbelastungszechanismus.</w:t>
      </w:r>
    </w:p>
    <w:p>
      <w:r>
        <w:rPr>
          <w:b/>
        </w:rPr>
        <w:t xml:space="preserve">Ergebnis: </w:t>
      </w:r>
      <w:r>
        <w:t>Aktuelle Diagnostik-Scores (H2FPEF, HFA-PEFF) zeigten nur 55–60 % Sensitivität. Mit optimierten Cut-Points für E/e' und LA-Reservoir-Strain (Systole/E/e') bei Ruhe konnten sichere Klassifikationen auf 70 % ausgeweitet werden, während invasive Tests von ~60 % auf ~30 % reduziert wurden (Sensitivität 95–99 % unter definitiv Klassifizierten). Befunde in internationalem Validierungskohorte bestätigt.</w:t>
      </w:r>
    </w:p>
    <w:p>
      <w:r>
        <w:rPr>
          <w:b/>
          <w:sz w:val="19"/>
        </w:rPr>
        <w:t xml:space="preserve">Übertragbarkeit: </w:t>
      </w:r>
      <w:r>
        <w:rPr>
          <w:sz w:val="19"/>
        </w:rPr>
        <w:t>USA-Studie mit internationalem Validierungskohorte; Verfahrensoptimierung übertragbar auf Chest-Pain-Units in Deutschland.</w:t>
      </w:r>
    </w:p>
    <w:p>
      <w:r>
        <w:rPr>
          <w:color w:val="5A7D3A"/>
          <w:sz w:val="18"/>
        </w:rPr>
        <w:t>https://pubmed.ncbi.nlm.nih.gov/42720269/</w:t>
      </w:r>
    </w:p>
    <w:p>
      <w:pPr>
        <w:pStyle w:val="Heading2"/>
      </w:pPr>
      <w:r>
        <w:t>Myeloperoxidase-Inhibitor Mitiperstat verbessert nicht Symptome oder Trainingsleistung bei Herzinsuffizienz mit erhaltener Ejektionsfraktion</w:t>
      </w:r>
    </w:p>
    <w:p>
      <w:r>
        <w:rPr>
          <w:i/>
          <w:color w:val="666666"/>
          <w:sz w:val="18"/>
        </w:rPr>
        <w:t>Lund LH et al.  ·  Nat Med  ·  09.09.2026  ·  PMID 42717033</w:t>
      </w:r>
    </w:p>
    <w:p>
      <w:r>
        <w:t>Randomisierte, doppelblinde Phase-2b-Studie mit 711 Patienten mit Herzinsuffizienz und EF &gt;40 %, die untersucht hat, ob der MPO-Inhibitor Mitiperstat über 48 Wochen Symptome und Trainingskapazität verbessert.</w:t>
      </w:r>
    </w:p>
    <w:p>
      <w:r>
        <w:rPr>
          <w:b/>
        </w:rPr>
        <w:t xml:space="preserve">Ergebnis: </w:t>
      </w:r>
      <w:r>
        <w:t>Mitiperstat (gepoolte Dosen) verschlechterte nicht das KCCQ-Total Symptom Score (Placebo-korrigierte Differenz −1,4 Punkte, 95%-KI −3,9–1,2; p=0,29) oder die 6-Minuten-Gehstrecke (3,8 m, 95%-KI −3,1–10,8; p=0,28). Die Therapie war sicher, aber wirkungslos für HFpEF/HFmrEF im chronischen Stadium.</w:t>
      </w:r>
    </w:p>
    <w:p>
      <w:r>
        <w:rPr>
          <w:b/>
          <w:sz w:val="19"/>
        </w:rPr>
        <w:t xml:space="preserve">Übertragbarkeit: </w:t>
      </w:r>
      <w:r>
        <w:rPr>
          <w:sz w:val="19"/>
        </w:rPr>
        <w:t>Multizentrische europäische und globale Studie; negative Ergebnisse für Leitlinienentscheidungen relevant.</w:t>
      </w:r>
    </w:p>
    <w:p>
      <w:r>
        <w:rPr>
          <w:color w:val="5A7D3A"/>
          <w:sz w:val="18"/>
        </w:rPr>
        <w:t>https://pubmed.ncbi.nlm.nih.gov/42717033/</w:t>
      </w:r>
    </w:p>
    <w:p>
      <w:pPr>
        <w:pStyle w:val="Heading2"/>
      </w:pPr>
      <w:r>
        <w:t>Herzinsuffizienz jeder EF-Kategorie ist mit kognitiven Beeinträchtigungen assoziiert, am stärksten bei reduzierter EF</w:t>
      </w:r>
    </w:p>
    <w:p>
      <w:r>
        <w:rPr>
          <w:i/>
          <w:color w:val="666666"/>
          <w:sz w:val="18"/>
        </w:rPr>
        <w:t>Satyadev N et al.  ·  J Am Heart Assoc  ·  09.09.2026  ·  PMID 42714589</w:t>
      </w:r>
    </w:p>
    <w:p>
      <w:r>
        <w:t>Querschnittstudie von 1.592 Patienten (mittleres Alter 75,7 Jahre) aus einem US-Gesundheitssystem, die Zusammenhänge zwischen HF-Phenotypen (nach EF-Kategorien) und kognitiven Funktionen (Montreal Cognitive Assessment) untersucht hat.</w:t>
      </w:r>
    </w:p>
    <w:p>
      <w:r>
        <w:rPr>
          <w:b/>
        </w:rPr>
        <w:t xml:space="preserve">Ergebnis: </w:t>
      </w:r>
      <w:r>
        <w:t>Niedrigere EF korrelierte mit schlechterer kognitiver Leistung (bereinigt β=0,033, p=0,013). HFrEF und HFpEF zeigten signifikant niedrigere MoCA-Werte als keine HF (HFrEF 17,6±6,2 vs. keine HF 19,9±6,0, p&lt;0,001). Moderate bis schwere kognitive Beeinträchtigung war höchst bei HFrEF (43,3 %), gefolgt von HFpEF (34,4 %).</w:t>
      </w:r>
    </w:p>
    <w:p>
      <w:r>
        <w:rPr>
          <w:b/>
          <w:sz w:val="19"/>
        </w:rPr>
        <w:t xml:space="preserve">Übertragbarkeit: </w:t>
      </w:r>
      <w:r>
        <w:rPr>
          <w:sz w:val="19"/>
        </w:rPr>
        <w:t>USA-Daten; Sekundärbefund zum kognitiven Risiko bei HF relevant für deutsche Versorgungsplanung und Geriatrie.</w:t>
      </w:r>
    </w:p>
    <w:p>
      <w:r>
        <w:rPr>
          <w:color w:val="5A7D3A"/>
          <w:sz w:val="18"/>
        </w:rPr>
        <w:t>https://pubmed.ncbi.nlm.nih.gov/42714589/</w:t>
      </w:r>
    </w:p>
    <w:p>
      <w:pPr>
        <w:pStyle w:val="Heading2"/>
      </w:pPr>
      <w:r>
        <w:t>Intermittierende Hypoxie-Hyperoxie-Exposition ist in HF-Patienten sicher und führt zu Verbesserungen der Blutdruckregulation und Körperzusammensetzung</w:t>
      </w:r>
    </w:p>
    <w:p>
      <w:r>
        <w:rPr>
          <w:i/>
          <w:color w:val="666666"/>
          <w:sz w:val="18"/>
        </w:rPr>
        <w:t>Bekfani T et al.  ·  ESC Heart Fail  ·  04.09.2026  ·  PMID 42695491</w:t>
      </w:r>
    </w:p>
    <w:p>
      <w:r>
        <w:t>Pilot-Feasibility-Studie mit 9 HF-Patienten (5 HFpEF, 4 HFrEF), die eine 10-wöchige individualisierte Intervention mit wiederholtem Höhentrainingszyklus (IHHE) hinsichtlich Sicherheit und Wirksamkeit auf Trainingskapazität und Lebensqualität untersucht hat.</w:t>
      </w:r>
    </w:p>
    <w:p>
      <w:r>
        <w:rPr>
          <w:b/>
        </w:rPr>
        <w:t xml:space="preserve">Ergebnis: </w:t>
      </w:r>
      <w:r>
        <w:t>IHHE war sicher und gut verträglich (Adhärenz 95 %), keine unerwünschten Ereignisse. Signifikante Reduktionen des systolischen (β=−5,95 mmHg) und diastolischen Blutdrucks (β=−3,74 mmHg) über 10 Wochen (p&lt;0,001). Fettmassenindex sank (9,32 vs. 8,92 kg/m², p=0,031), viszerales Fett sank (127,6 vs. 121,9 cm², p=0,005), numerische Trends zu besserem Peak VO₂ (+300 mL/min) und 6MWT (+22 m), keine QoL-Verbesserung beobachtet.</w:t>
      </w:r>
    </w:p>
    <w:p>
      <w:r>
        <w:rPr>
          <w:b/>
          <w:sz w:val="19"/>
        </w:rPr>
        <w:t xml:space="preserve">Übertragbarkeit: </w:t>
      </w:r>
      <w:r>
        <w:rPr>
          <w:sz w:val="19"/>
        </w:rPr>
        <w:t>Deutschland: Universitätsklinik Magdeburg mit europäischen Zentren; Machbarkeitsstudie für RCT-Vorbereitung.</w:t>
      </w:r>
    </w:p>
    <w:p>
      <w:r>
        <w:rPr>
          <w:color w:val="5A7D3A"/>
          <w:sz w:val="18"/>
        </w:rPr>
        <w:t>https://pubmed.ncbi.nlm.nih.gov/42695491/</w:t>
      </w:r>
    </w:p>
    <w:p>
      <w:pPr>
        <w:pStyle w:val="Heading2"/>
      </w:pPr>
      <w:r>
        <w:t>Kontinuierlich erhöhte Ketonkörper im Plasma sind mit ungünstigen Ereignissen in Herzinsuffizienz verbunden</w:t>
      </w:r>
    </w:p>
    <w:p>
      <w:r>
        <w:rPr>
          <w:i/>
          <w:color w:val="666666"/>
          <w:sz w:val="18"/>
        </w:rPr>
        <w:t>Palm CL et al.  ·  Clin Res Cardiol  ·  31.08.2026  ·  PMID 42671454</w:t>
      </w:r>
    </w:p>
    <w:p>
      <w:r>
        <w:t>Prospektive Kohortenstudie (TRIUMPH und Bio-SHiFT) mit 467 und 397 HF-Patienten, die durch Joint-Modeling wiederholte Plasma-Ketonkörper-Messungen und Zusammenhänge mit Tod/HF-Rehospitalisierung analysiert hat.</w:t>
      </w:r>
    </w:p>
    <w:p>
      <w:r>
        <w:rPr>
          <w:b/>
        </w:rPr>
        <w:t xml:space="preserve">Ergebnis: </w:t>
      </w:r>
      <w:r>
        <w:t>TRIUMPH: bei Verdopplung der Gesamt-Ketonkörper HR 2,10 (95%-KI 1,27–3,71) für kombiniertes Ereignis nach Anpassung. Bio-SHiFT: HR 5,36 (2,18–14,0) für Ketonkörper bei Studienendpunkt. Patienten mit Ereignissen zeigten durchgehend höhere Ketonkörper, was anhaltenden metabolischen Stress widerspiegelt.</w:t>
      </w:r>
    </w:p>
    <w:p>
      <w:r>
        <w:rPr>
          <w:b/>
          <w:sz w:val="19"/>
        </w:rPr>
        <w:t xml:space="preserve">Übertragbarkeit: </w:t>
      </w:r>
      <w:r>
        <w:rPr>
          <w:sz w:val="19"/>
        </w:rPr>
        <w:t>Niederländisch-deutsche Studienzentren; vergleichbar mit deutschen Kliniken in Struktur und Verfolgung.</w:t>
      </w:r>
    </w:p>
    <w:p>
      <w:r>
        <w:rPr>
          <w:color w:val="5A7D3A"/>
          <w:sz w:val="18"/>
        </w:rPr>
        <w:t>https://pubmed.ncbi.nlm.nih.gov/42671454/</w:t>
      </w:r>
    </w:p>
    <w:p>
      <w:pPr>
        <w:pStyle w:val="Heading1"/>
      </w:pPr>
      <w:r>
        <w:t>Aufgenommen am 10.09.2026</w:t>
      </w:r>
    </w:p>
    <w:p>
      <w:pPr>
        <w:pStyle w:val="Heading2"/>
      </w:pPr>
      <w:r>
        <w:t>Selektive Adipokinmodulierung verbessert HFpEF-Parameter stärker als Hämodynamik-Targeting</w:t>
      </w:r>
    </w:p>
    <w:p>
      <w:r>
        <w:rPr>
          <w:i/>
          <w:color w:val="666666"/>
          <w:sz w:val="18"/>
        </w:rPr>
        <w:t>Packer M et al.  ·  JACC Heart Fail  ·  08.09.2026  ·  PMID 42714366</w:t>
      </w:r>
    </w:p>
    <w:p>
      <w:r>
        <w:t>Analyse von HFpEF-Patienten (veröffentlichtes abstract, methodische Fokusstudie), Vergleich der Effekte von gerichteter Adipokinmodulation versus traditioneller hämodynamischer Therapieoptimierung.</w:t>
      </w:r>
    </w:p>
    <w:p>
      <w:r>
        <w:rPr>
          <w:b/>
        </w:rPr>
        <w:t xml:space="preserve">Ergebnis: </w:t>
      </w:r>
      <w:r>
        <w:t>Gezielte Adipokinmodulation führte zu messbaren Verbesserungen der linksventrikulären Funktion und Struktur; Hämodynamik-only-Ansätze zeigten weniger Benefit. Hinweis auf Bedeutung inflammatorischer und metabolischer Pathways bei HFpEF.</w:t>
      </w:r>
    </w:p>
    <w:p>
      <w:r>
        <w:rPr>
          <w:b/>
          <w:sz w:val="19"/>
        </w:rPr>
        <w:t xml:space="preserve">Übertragbarkeit: </w:t>
      </w:r>
      <w:r>
        <w:rPr>
          <w:sz w:val="19"/>
        </w:rPr>
        <w:t>Mechanismusstudie, USA-Setting, aber adipokine Targets sind universell relevant.</w:t>
      </w:r>
    </w:p>
    <w:p>
      <w:r>
        <w:rPr>
          <w:color w:val="5A7D3A"/>
          <w:sz w:val="18"/>
        </w:rPr>
        <w:t>https://pubmed.ncbi.nlm.nih.gov/42714366/</w:t>
      </w:r>
    </w:p>
    <w:p>
      <w:pPr>
        <w:pStyle w:val="Heading2"/>
      </w:pPr>
      <w:r>
        <w:t>Kombinierte Pulmonalvenenisolation und Vorhofohrkauerstöpselung mit gepulstem Feldablation ist sicher und wirksam</w:t>
      </w:r>
    </w:p>
    <w:p>
      <w:r>
        <w:rPr>
          <w:i/>
          <w:color w:val="666666"/>
          <w:sz w:val="18"/>
        </w:rPr>
        <w:t>Heeger CH et al.  ·  Europace  ·  02.09.2026  ·  PMID 42713747</w:t>
      </w:r>
    </w:p>
    <w:p>
      <w:r>
        <w:t>Retrospektive multizentrische Registerstudie zu 155 Patienten aus neun europäischen Ländern, die sich einer gleichzeitigen gepulsten Feldablation-basierten Pulmonalvenenisolation und Vorhofohrkauerstöpselung unterzogen.</w:t>
      </w:r>
    </w:p>
    <w:p>
      <w:r>
        <w:rPr>
          <w:b/>
        </w:rPr>
        <w:t xml:space="preserve">Ergebnis: </w:t>
      </w:r>
      <w:r>
        <w:t>Primärer Wirksamkeitsendpunkt erreicht bei 97,4 % (PVI erfolgreich 100 %, Verschluss 97,4 %), ernsthafte Nebenwirkungen bei 1,9 %. Sinusrhythmus bei 78,1 % der Patienten mit Follow-up &gt;6 Monate. Eine seltene Komplikation; insgesamt ein praxisrelevantes, kombiniertes Verfahren.</w:t>
      </w:r>
    </w:p>
    <w:p>
      <w:r>
        <w:rPr>
          <w:b/>
          <w:sz w:val="19"/>
        </w:rPr>
        <w:t xml:space="preserve">Übertragbarkeit: </w:t>
      </w:r>
      <w:r>
        <w:rPr>
          <w:sz w:val="19"/>
        </w:rPr>
        <w:t>Multinationale europäische Zentren, deutsche Standorte beteiligt, vergleichbare Strukturen.</w:t>
      </w:r>
    </w:p>
    <w:p>
      <w:r>
        <w:rPr>
          <w:color w:val="5A7D3A"/>
          <w:sz w:val="18"/>
        </w:rPr>
        <w:t>https://pubmed.ncbi.nlm.nih.gov/42713747/</w:t>
      </w:r>
    </w:p>
    <w:p>
      <w:pPr>
        <w:pStyle w:val="Heading2"/>
      </w:pPr>
      <w:r>
        <w:t>LGE-Korridore und Hochrisiko-Genotyp vorhersagen Herzrhythmusstörungen in dilatativer Kardiomyopathie besser als EF ≤35 %</w:t>
      </w:r>
    </w:p>
    <w:p>
      <w:r>
        <w:rPr>
          <w:i/>
          <w:color w:val="666666"/>
          <w:sz w:val="18"/>
        </w:rPr>
        <w:t>Ramos-López N et al.  ·  Circulation  ·  08.09.2026  ·  PMID 42708210</w:t>
      </w:r>
    </w:p>
    <w:p>
      <w:r>
        <w:t>Retrospektive multizentrische europäische Studie mit 925 Patienten mit nichtischämischer Kardiomyopathie, Analyse von Spätanreicherungsmustern im MRT und genetischen Varianten zur Vorhersage maligner ventrikulärer Arrhythmien.</w:t>
      </w:r>
    </w:p>
    <w:p>
      <w:r>
        <w:rPr>
          <w:b/>
        </w:rPr>
        <w:t xml:space="preserve">Ergebnis: </w:t>
      </w:r>
      <w:r>
        <w:t>Nach Median-Follow-up 5,4 Jahre 95 Ereignisse (10,3 %). Pro Läsionskanal im LGE: Subdistribution Hazard Ratio 1,25 (95 % CI 1,11–1,42; p&lt;0,001). Hochrisikogenotpyen: SHR 2,28 (95 % CI 1,32–3,96; p=0,003). Optimales Cutoff ≥4 Korridore. Fünf-Jahres-C-Index 0,72 vs. 0,57 (EF ≤35 %-Klassifikation).</w:t>
      </w:r>
    </w:p>
    <w:p>
      <w:r>
        <w:rPr>
          <w:b/>
          <w:sz w:val="19"/>
        </w:rPr>
        <w:t xml:space="preserve">Übertragbarkeit: </w:t>
      </w:r>
      <w:r>
        <w:rPr>
          <w:sz w:val="19"/>
        </w:rPr>
        <w:t>22 europäische Zentren, Europa-weite Kooperation, aber spezialisierte CMR/Genetik-Expertise erforderlich.</w:t>
      </w:r>
    </w:p>
    <w:p>
      <w:r>
        <w:rPr>
          <w:color w:val="5A7D3A"/>
          <w:sz w:val="18"/>
        </w:rPr>
        <w:t>https://pubmed.ncbi.nlm.nih.gov/42708210/</w:t>
      </w:r>
    </w:p>
    <w:p>
      <w:pPr>
        <w:pStyle w:val="Heading2"/>
      </w:pPr>
      <w:r>
        <w:t>Lipidsenker-Therapieintensivierung würde in Dänemark 589 Schlaganfälle jährlich verhindern</w:t>
      </w:r>
    </w:p>
    <w:p>
      <w:r>
        <w:rPr>
          <w:i/>
          <w:color w:val="666666"/>
          <w:sz w:val="18"/>
        </w:rPr>
        <w:t>Mohamed AA et al.  ·  Open Heart  ·  07.09.2026  ·  PMID 42705842</w:t>
      </w:r>
    </w:p>
    <w:p>
      <w:r>
        <w:t>Landesweite dänische Kohortenstudie mit 487.962 Patienten mit hohem oder sehr hohem Atheroskleroserisiko, Messung der LDL-Cholesterin-Zielwert-Erreichung und Modellierung der Auswirkungen von Leitlinienimplementierung.</w:t>
      </w:r>
    </w:p>
    <w:p>
      <w:r>
        <w:rPr>
          <w:b/>
        </w:rPr>
        <w:t xml:space="preserve">Ergebnis: </w:t>
      </w:r>
      <w:r>
        <w:t>Aktuelle Zielerreichung Primärprävention 39,8 % (dänisch) bzw. 15,1 % (europäisch), Sekundärprävention 18,8 %. Mit optimaler Umsetzung Steigerung auf 91,9 % (dänisch) bzw. 75,8 % (europäisch). Implementierung würde 589 Schlaganfälle, 491 Herzinfarkte, 581 Revaskularisationen, 196 kardiovaskuläre Todesfälle jährlich verhindern; 15,8 Mio. € Kosteneinsparung.</w:t>
      </w:r>
    </w:p>
    <w:p>
      <w:r>
        <w:rPr>
          <w:b/>
          <w:sz w:val="19"/>
        </w:rPr>
        <w:t xml:space="preserve">Übertragbarkeit: </w:t>
      </w:r>
      <w:r>
        <w:rPr>
          <w:sz w:val="19"/>
        </w:rPr>
        <w:t>Dänemark, vergleichbares nordeuropäisches Versicherungssystem, aber restriktivere PCSK9-Inhibitor-Erstattung.</w:t>
      </w:r>
    </w:p>
    <w:p>
      <w:r>
        <w:rPr>
          <w:color w:val="5A7D3A"/>
          <w:sz w:val="18"/>
        </w:rPr>
        <w:t>https://pubmed.ncbi.nlm.nih.gov/42705842/</w:t>
      </w:r>
    </w:p>
    <w:p>
      <w:pPr>
        <w:pStyle w:val="Heading2"/>
      </w:pPr>
      <w:r>
        <w:t>Temperaturextreme und Herzinsuffizienzeinweisungen in Schweden: Kältewellen erhöhen Risiko um 8,5 %</w:t>
      </w:r>
    </w:p>
    <w:p>
      <w:r>
        <w:rPr>
          <w:i/>
          <w:color w:val="666666"/>
          <w:sz w:val="18"/>
        </w:rPr>
        <w:t>Ni W et al.  ·  J Am Coll Cardiol  ·  01.09.2026  ·  PMID 42683967</w:t>
      </w:r>
    </w:p>
    <w:p>
      <w:r>
        <w:t>Bevölkerungsweite Fall-Crossover-Studie in Schweden mit 482.000 Herzinsuffizienzeinweisungen 2006–2021, Analyse der Assoziation mit Kältephasen und Hitzewellen.</w:t>
      </w:r>
    </w:p>
    <w:p>
      <w:r>
        <w:rPr>
          <w:b/>
        </w:rPr>
        <w:t xml:space="preserve">Ergebnis: </w:t>
      </w:r>
      <w:r>
        <w:t>Kältephasen/niedrigere Temperaturen (lag 2–6 Tage): OR 1,085 für kumulative Assoziation (95 % CI 1,042–1,129). Höhere Temperaturen (lag 0–3): OR 1,009 pro 10-Perzentil-Anstieg (95 % CI 1,006–1,013). Höhere Risiken verzögert bei Kälte, unmittelbar bei Hitze.</w:t>
      </w:r>
    </w:p>
    <w:p>
      <w:r>
        <w:rPr>
          <w:b/>
          <w:sz w:val="19"/>
        </w:rPr>
        <w:t xml:space="preserve">Übertragbarkeit: </w:t>
      </w:r>
      <w:r>
        <w:rPr>
          <w:sz w:val="19"/>
        </w:rPr>
        <w:t>Schweden, aber klimageografische Besonderheiten; Befund temperaturunabhängig übertragbar.</w:t>
      </w:r>
    </w:p>
    <w:p>
      <w:r>
        <w:rPr>
          <w:color w:val="5A7D3A"/>
          <w:sz w:val="18"/>
        </w:rPr>
        <w:t>https://pubmed.ncbi.nlm.nih.gov/42683967/</w:t>
      </w:r>
    </w:p>
    <w:p>
      <w:pPr>
        <w:pStyle w:val="Heading2"/>
      </w:pPr>
      <w:r>
        <w:t>Diabetische Kardiomyopathie: Expertenpapier zur Abgrenzung als eigenständige Erkrankung</w:t>
      </w:r>
    </w:p>
    <w:p>
      <w:r>
        <w:rPr>
          <w:i/>
          <w:color w:val="666666"/>
          <w:sz w:val="18"/>
        </w:rPr>
        <w:t>Seferovic P et al.  ·  Eur Heart J  ·  02.09.2026  ·  PMID 42681860</w:t>
      </w:r>
    </w:p>
    <w:p>
      <w:r>
        <w:t>Expertenkonsensus-Review zur Frage, ob diabetische Kardiomyopathie als eigenständiger Phänotyp zu definieren ist, mit Diskussion von pathophysiologischen Mechanismen und klinischen Implikationen.</w:t>
      </w:r>
    </w:p>
    <w:p>
      <w:r>
        <w:rPr>
          <w:b/>
        </w:rPr>
        <w:t xml:space="preserve">Ergebnis: </w:t>
      </w:r>
      <w:r>
        <w:t>Mehrheitliche Übereinkunft: Diabetische Kardiomyopathie ist ein eigenständiges Syndrom mit charakteristischen Muskel-, Stoffwechsel- und entzündlichen Merkmalen; Unterscheidung von rein ischämischer oder hypertensiver Kardiomyopathie gerechtfertigt. Empfehlung für zukünftige therapeutische Ansätze.</w:t>
      </w:r>
    </w:p>
    <w:p>
      <w:r>
        <w:rPr>
          <w:b/>
          <w:sz w:val="19"/>
        </w:rPr>
        <w:t xml:space="preserve">Übertragbarkeit: </w:t>
      </w:r>
      <w:r>
        <w:rPr>
          <w:sz w:val="19"/>
        </w:rPr>
        <w:t>Expertenkonsens international, Leitlinien-relevant für Diabetes-Kardiologie-Interface in Deutschland.</w:t>
      </w:r>
    </w:p>
    <w:p>
      <w:r>
        <w:rPr>
          <w:color w:val="5A7D3A"/>
          <w:sz w:val="18"/>
        </w:rPr>
        <w:t>https://pubmed.ncbi.nlm.nih.gov/42681860/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Kardiologie</dc:title>
  <dc:subject/>
  <dc:creator>Monitor Versorgungsforschung</dc:creator>
  <cp:keywords/>
  <dc:description>generated by python-docx</dc:description>
  <cp:lastModifiedBy/>
  <cp:revision>1</cp:revision>
  <dcterms:created xsi:type="dcterms:W3CDTF">2026-10-01T06:00:00Z</dcterms:created>
  <dcterms:modified xsi:type="dcterms:W3CDTF">2026-10-01T06:00:00Z</dcterms:modified>
  <cp:category/>
</cp:coreProperties>
</file>