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Kardiologie</w:t>
      </w:r>
    </w:p>
    <w:p>
      <w:r>
        <w:rPr>
          <w:i/>
          <w:color w:val="666666"/>
          <w:sz w:val="18"/>
        </w:rPr>
        <w:t>Stand: 11.09.2026  |  12 Studien  |  kardio.m-vf.de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Nur Vorhofflimmern ist nach STEMI mit reduzierter EF unabhängig mit erhöhter Mortalität assoziiert; Kammertachykardien sind seltener als erwartet</w:t>
      </w:r>
    </w:p>
    <w:p>
      <w:r>
        <w:rPr>
          <w:i/>
          <w:color w:val="666666"/>
          <w:sz w:val="18"/>
        </w:rPr>
        <w:t>Jiménez-Candil J et al.  ·  JACC Clin Electrophysiol  ·  26.08.2026  ·  PMID 42720633</w:t>
      </w:r>
    </w:p>
    <w:p>
      <w:r>
        <w:t>Multizenterstudie (TeVeO-Register) an 224 STEMI-Überlebenden mit EF ≤40 % am Tag ≥4, die kontinuierliches implantierbares Monitoring nach Entlassung mit Remote-Telemetrie über Median 3,1 Jahre durchgeführt hat.</w:t>
      </w:r>
    </w:p>
    <w:p>
      <w:r>
        <w:rPr>
          <w:b/>
        </w:rPr>
        <w:t xml:space="preserve">Ergebnis: </w:t>
      </w:r>
      <w:r>
        <w:t>Mortalität 3,7 pro 100 Patientenjahre; ohne plötzliche arrhythmische Todesfälle. Bei 6 Monaten ICD bei 25 (11 %) implantiert. Während Follow-up 119 (53 %) ≥1 ambulante Arrhythmie: 39 (17 %) Vorhofflimmern, 35 (16 %) NSVT, 33 (15 %) Pausen &gt;3 sec, 5 (2,2 %) nachgewiesene VT/ICD-Therapie. Nur Vorhofflimmern unabhängig mit erhöhter Mortalität assoziiert (adj. HR=2,5; p=0,04). NSVT-Inzidenz 5,4/100 PY, VT/ICD-Therapie 0,9/100 PY.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Multizenterstudie mit etabliertem Register; Real-World-Evidenz zum Post-STEMI-Arrhythmie-Phänotyp.</w:t>
      </w:r>
    </w:p>
    <w:p>
      <w:r>
        <w:rPr>
          <w:color w:val="5A7D3A"/>
          <w:sz w:val="18"/>
        </w:rPr>
        <w:t>https://pubmed.ncbi.nlm.nih.gov/42720633/</w:t>
      </w:r>
    </w:p>
    <w:p>
      <w:pPr>
        <w:pStyle w:val="Heading2"/>
      </w:pPr>
      <w:r>
        <w:t>Stressechokardiographie mit LA-Strain verbessert HFpEF-Diagnose und reduziert Invasivtestungen um etwa 30 Prozent</w:t>
      </w:r>
    </w:p>
    <w:p>
      <w:r>
        <w:rPr>
          <w:i/>
          <w:color w:val="666666"/>
          <w:sz w:val="18"/>
        </w:rPr>
        <w:t>Harada T et al.  ·  Eur Heart J  ·  10.09.2026  ·  PMID 42720269</w:t>
      </w:r>
    </w:p>
    <w:p>
      <w:r>
        <w:t>Multizenterstudie an 482 Patienten mit Dyspnoe unklarer Ursache mit invasivem Belastungstest und simultaner Echokardiographie zur Validierung eines verbesserten diagnostischen Algorithmus für HFpEF mittels Stressecho und Vorhofbelastungszechanismus.</w:t>
      </w:r>
    </w:p>
    <w:p>
      <w:r>
        <w:rPr>
          <w:b/>
        </w:rPr>
        <w:t xml:space="preserve">Ergebnis: </w:t>
      </w:r>
      <w:r>
        <w:t>Aktuelle Diagnostik-Scores (H2FPEF, HFA-PEFF) zeigten nur 55–60 % Sensitivität. Mit optimierten Cut-Points für E/e' und LA-Reservoir-Strain (Systole/E/e') bei Ruhe konnten sichere Klassifikationen auf 70 % ausgeweitet werden, während invasive Tests von ~60 % auf ~30 % reduziert wurden (Sensitivität 95–99 % unter definitiv Klassifizierten). Befunde in internationalem Validierungskohorte bestätigt.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 mit internationalem Validierungskohorte; Verfahrensoptimierung übertragbar auf Chest-Pain-Units in Deutschland.</w:t>
      </w:r>
    </w:p>
    <w:p>
      <w:r>
        <w:rPr>
          <w:color w:val="5A7D3A"/>
          <w:sz w:val="18"/>
        </w:rPr>
        <w:t>https://pubmed.ncbi.nlm.nih.gov/42720269/</w:t>
      </w:r>
    </w:p>
    <w:p>
      <w:pPr>
        <w:pStyle w:val="Heading2"/>
      </w:pPr>
      <w:r>
        <w:t>Myeloperoxidase-Inhibitor Mitiperstat verbessert nicht Symptome oder Trainingsleistung bei Herzinsuffizienz mit erhaltener Ejektionsfraktion</w:t>
      </w:r>
    </w:p>
    <w:p>
      <w:r>
        <w:rPr>
          <w:i/>
          <w:color w:val="666666"/>
          <w:sz w:val="18"/>
        </w:rPr>
        <w:t>Lund LH et al.  ·  Nat Med  ·  09.09.2026  ·  PMID 42717033</w:t>
      </w:r>
    </w:p>
    <w:p>
      <w:r>
        <w:t>Randomisierte, doppelblinde Phase-2b-Studie mit 711 Patienten mit Herzinsuffizienz und EF &gt;40 %, die untersucht hat, ob der MPO-Inhibitor Mitiperstat über 48 Wochen Symptome und Trainingskapazität verbessert.</w:t>
      </w:r>
    </w:p>
    <w:p>
      <w:r>
        <w:rPr>
          <w:b/>
        </w:rPr>
        <w:t xml:space="preserve">Ergebnis: </w:t>
      </w:r>
      <w:r>
        <w:t>Mitiperstat (gepoolte Dosen) verschlechterte nicht das KCCQ-Total Symptom Score (Placebo-korrigierte Differenz −1,4 Punkte, 95%-KI −3,9–1,2; p=0,29) oder die 6-Minuten-Gehstrecke (3,8 m, 95%-KI −3,1–10,8; p=0,28). Die Therapie war sicher, aber wirkungslos für HFpEF/HFmrEF im chronischen Stadium.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Multizentrische europäische und globale Studie; negative Ergebnisse für Leitlinienentscheidungen relevant.</w:t>
      </w:r>
    </w:p>
    <w:p>
      <w:r>
        <w:rPr>
          <w:color w:val="5A7D3A"/>
          <w:sz w:val="18"/>
        </w:rPr>
        <w:t>https://pubmed.ncbi.nlm.nih.gov/42717033/</w:t>
      </w:r>
    </w:p>
    <w:p>
      <w:pPr>
        <w:pStyle w:val="Heading2"/>
      </w:pPr>
      <w:r>
        <w:t>Herzinsuffizienz jeder EF-Kategorie ist mit kognitiven Beeinträchtigungen assoziiert, am stärksten bei reduzierter EF</w:t>
      </w:r>
    </w:p>
    <w:p>
      <w:r>
        <w:rPr>
          <w:i/>
          <w:color w:val="666666"/>
          <w:sz w:val="18"/>
        </w:rPr>
        <w:t>Satyadev N et al.  ·  J Am Heart Assoc  ·  09.09.2026  ·  PMID 42714589</w:t>
      </w:r>
    </w:p>
    <w:p>
      <w:r>
        <w:t>Querschnittstudie von 1.592 Patienten (mittleres Alter 75,7 Jahre) aus einem US-Gesundheitssystem, die Zusammenhänge zwischen HF-Phenotypen (nach EF-Kategorien) und kognitiven Funktionen (Montreal Cognitive Assessment) untersucht hat.</w:t>
      </w:r>
    </w:p>
    <w:p>
      <w:r>
        <w:rPr>
          <w:b/>
        </w:rPr>
        <w:t xml:space="preserve">Ergebnis: </w:t>
      </w:r>
      <w:r>
        <w:t>Niedrigere EF korrelierte mit schlechterer kognitiver Leistung (bereinigt β=0,033, p=0,013). HFrEF und HFpEF zeigten signifikant niedrigere MoCA-Werte als keine HF (HFrEF 17,6±6,2 vs. keine HF 19,9±6,0, p&lt;0,001). Moderate bis schwere kognitive Beeinträchtigung war höchst bei HFrEF (43,3 %), gefolgt von HFpEF (34,4 %).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USA-Daten; Sekundärbefund zum kognitiven Risiko bei HF relevant für deutsche Versorgungsplanung und Geriatrie.</w:t>
      </w:r>
    </w:p>
    <w:p>
      <w:r>
        <w:rPr>
          <w:color w:val="5A7D3A"/>
          <w:sz w:val="18"/>
        </w:rPr>
        <w:t>https://pubmed.ncbi.nlm.nih.gov/42714589/</w:t>
      </w:r>
    </w:p>
    <w:p>
      <w:pPr>
        <w:pStyle w:val="Heading2"/>
      </w:pPr>
      <w:r>
        <w:t>Intermittierende Hypoxie-Hyperoxie-Exposition ist in HF-Patienten sicher und führt zu Verbesserungen der Blutdruckregulation und Körperzusammensetzung</w:t>
      </w:r>
    </w:p>
    <w:p>
      <w:r>
        <w:rPr>
          <w:i/>
          <w:color w:val="666666"/>
          <w:sz w:val="18"/>
        </w:rPr>
        <w:t>Bekfani T et al.  ·  ESC Heart Fail  ·  04.09.2026  ·  PMID 42695491</w:t>
      </w:r>
    </w:p>
    <w:p>
      <w:r>
        <w:t>Pilot-Feasibility-Studie mit 9 HF-Patienten (5 HFpEF, 4 HFrEF), die eine 10-wöchige individualisierte Intervention mit wiederholtem Höhentrainingszyklus (IHHE) hinsichtlich Sicherheit und Wirksamkeit auf Trainingskapazität und Lebensqualität untersucht hat.</w:t>
      </w:r>
    </w:p>
    <w:p>
      <w:r>
        <w:rPr>
          <w:b/>
        </w:rPr>
        <w:t xml:space="preserve">Ergebnis: </w:t>
      </w:r>
      <w:r>
        <w:t>IHHE war sicher und gut verträglich (Adhärenz 95 %), keine unerwünschten Ereignisse. Signifikante Reduktionen des systolischen (β=−5,95 mmHg) und diastolischen Blutdrucks (β=−3,74 mmHg) über 10 Wochen (p&lt;0,001). Fettmassenindex sank (9,32 vs. 8,92 kg/m², p=0,031), viszerales Fett sank (127,6 vs. 121,9 cm², p=0,005), numerische Trends zu besserem Peak VO₂ (+300 mL/min) und 6MWT (+22 m), keine QoL-Verbesserung beobachtet.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Deutschland: Universitätsklinik Magdeburg mit europäischen Zentren; Machbarkeitsstudie für RCT-Vorbereitung.</w:t>
      </w:r>
    </w:p>
    <w:p>
      <w:r>
        <w:rPr>
          <w:color w:val="5A7D3A"/>
          <w:sz w:val="18"/>
        </w:rPr>
        <w:t>https://pubmed.ncbi.nlm.nih.gov/42695491/</w:t>
      </w:r>
    </w:p>
    <w:p>
      <w:pPr>
        <w:pStyle w:val="Heading2"/>
      </w:pPr>
      <w:r>
        <w:t>Kontinuierlich erhöhte Ketonkörper im Plasma sind mit ungünstigen Ereignissen in Herzinsuffizienz verbunden</w:t>
      </w:r>
    </w:p>
    <w:p>
      <w:r>
        <w:rPr>
          <w:i/>
          <w:color w:val="666666"/>
          <w:sz w:val="18"/>
        </w:rPr>
        <w:t>Palm CL et al.  ·  Clin Res Cardiol  ·  31.08.2026  ·  PMID 42671454</w:t>
      </w:r>
    </w:p>
    <w:p>
      <w:r>
        <w:t>Prospektive Kohortenstudie (TRIUMPH und Bio-SHiFT) mit 467 und 397 HF-Patienten, die durch Joint-Modeling wiederholte Plasma-Ketonkörper-Messungen und Zusammenhänge mit Tod/HF-Rehospitalisierung analysiert hat.</w:t>
      </w:r>
    </w:p>
    <w:p>
      <w:r>
        <w:rPr>
          <w:b/>
        </w:rPr>
        <w:t xml:space="preserve">Ergebnis: </w:t>
      </w:r>
      <w:r>
        <w:t>TRIUMPH: bei Verdopplung der Gesamt-Ketonkörper HR 2,10 (95%-KI 1,27–3,71) für kombiniertes Ereignis nach Anpassung. Bio-SHiFT: HR 5,36 (2,18–14,0) für Ketonkörper bei Studienendpunkt. Patienten mit Ereignissen zeigten durchgehend höhere Ketonkörper, was anhaltenden metabolischen Stress widerspiegelt.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Niederländisch-deutsche Studienzentren; vergleichbar mit deutschen Kliniken in Struktur und Verfolgung.</w:t>
      </w:r>
    </w:p>
    <w:p>
      <w:r>
        <w:rPr>
          <w:color w:val="5A7D3A"/>
          <w:sz w:val="18"/>
        </w:rPr>
        <w:t>https://pubmed.ncbi.nlm.nih.gov/42671454/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Selektive Adipokinmodulierung verbessert HFpEF-Parameter stärker als Hämodynamik-Targeting</w:t>
      </w:r>
    </w:p>
    <w:p>
      <w:r>
        <w:rPr>
          <w:i/>
          <w:color w:val="666666"/>
          <w:sz w:val="18"/>
        </w:rPr>
        <w:t>Packer M et al.  ·  JACC Heart Fail  ·  08.09.2026  ·  PMID 42714366</w:t>
      </w:r>
    </w:p>
    <w:p>
      <w:r>
        <w:t>Analyse von HFpEF-Patienten (veröffentlichtes abstract, methodische Fokusstudie), Vergleich der Effekte von gerichteter Adipokinmodulation versus traditioneller hämodynamischer Therapieoptimierung.</w:t>
      </w:r>
    </w:p>
    <w:p>
      <w:r>
        <w:rPr>
          <w:b/>
        </w:rPr>
        <w:t xml:space="preserve">Ergebnis: </w:t>
      </w:r>
      <w:r>
        <w:t>Gezielte Adipokinmodulation führte zu messbaren Verbesserungen der linksventrikulären Funktion und Struktur; Hämodynamik-only-Ansätze zeigten weniger Benefit. Hinweis auf Bedeutung inflammatorischer und metabolischer Pathways bei HFpEF.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Mechanismusstudie, USA-Setting, aber adipokine Targets sind universell relevant.</w:t>
      </w:r>
    </w:p>
    <w:p>
      <w:r>
        <w:rPr>
          <w:color w:val="5A7D3A"/>
          <w:sz w:val="18"/>
        </w:rPr>
        <w:t>https://pubmed.ncbi.nlm.nih.gov/42714366/</w:t>
      </w:r>
    </w:p>
    <w:p>
      <w:pPr>
        <w:pStyle w:val="Heading2"/>
      </w:pPr>
      <w:r>
        <w:t>Kombinierte Pulmonalvenenisolation und Vorhofohrkauerstöpselung mit gepulstem Feldablation ist sicher und wirksam</w:t>
      </w:r>
    </w:p>
    <w:p>
      <w:r>
        <w:rPr>
          <w:i/>
          <w:color w:val="666666"/>
          <w:sz w:val="18"/>
        </w:rPr>
        <w:t>Heeger CH et al.  ·  Europace  ·  02.09.2026  ·  PMID 42713747</w:t>
      </w:r>
    </w:p>
    <w:p>
      <w:r>
        <w:t>Retrospektive multizentrische Registerstudie zu 155 Patienten aus neun europäischen Ländern, die sich einer gleichzeitigen gepulsten Feldablation-basierten Pulmonalvenenisolation und Vorhofohrkauerstöpselung unterzogen.</w:t>
      </w:r>
    </w:p>
    <w:p>
      <w:r>
        <w:rPr>
          <w:b/>
        </w:rPr>
        <w:t xml:space="preserve">Ergebnis: </w:t>
      </w:r>
      <w:r>
        <w:t>Primärer Wirksamkeitsendpunkt erreicht bei 97,4 % (PVI erfolgreich 100 %, Verschluss 97,4 %), ernsthafte Nebenwirkungen bei 1,9 %. Sinusrhythmus bei 78,1 % der Patienten mit Follow-up &gt;6 Monate. Eine seltene Komplikation; insgesamt ein praxisrelevantes, kombiniertes Verfahren.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europäische Zentren, deutsche Standorte beteiligt, vergleichbare Strukturen.</w:t>
      </w:r>
    </w:p>
    <w:p>
      <w:r>
        <w:rPr>
          <w:color w:val="5A7D3A"/>
          <w:sz w:val="18"/>
        </w:rPr>
        <w:t>https://pubmed.ncbi.nlm.nih.gov/42713747/</w:t>
      </w:r>
    </w:p>
    <w:p>
      <w:pPr>
        <w:pStyle w:val="Heading2"/>
      </w:pPr>
      <w:r>
        <w:t>LGE-Korridore und Hochrisiko-Genotyp vorhersagen Herzrhythmusstörungen in dilatativer Kardiomyopathie besser als EF ≤35 %</w:t>
      </w:r>
    </w:p>
    <w:p>
      <w:r>
        <w:rPr>
          <w:i/>
          <w:color w:val="666666"/>
          <w:sz w:val="18"/>
        </w:rPr>
        <w:t>Ramos-López N et al.  ·  Circulation  ·  08.09.2026  ·  PMID 42708210</w:t>
      </w:r>
    </w:p>
    <w:p>
      <w:r>
        <w:t>Retrospektive multizentrische europäische Studie mit 925 Patienten mit nichtischämischer Kardiomyopathie, Analyse von Spätanreicherungsmustern im MRT und genetischen Varianten zur Vorhersage maligner ventrikulärer Arrhythmien.</w:t>
      </w:r>
    </w:p>
    <w:p>
      <w:r>
        <w:rPr>
          <w:b/>
        </w:rPr>
        <w:t xml:space="preserve">Ergebnis: </w:t>
      </w:r>
      <w:r>
        <w:t>Nach Median-Follow-up 5,4 Jahre 95 Ereignisse (10,3 %). Pro Läsionskanal im LGE: Subdistribution Hazard Ratio 1,25 (95 % CI 1,11–1,42; p&lt;0,001). Hochrisikogenotpyen: SHR 2,28 (95 % CI 1,32–3,96; p=0,003). Optimales Cutoff ≥4 Korridore. Fünf-Jahres-C-Index 0,72 vs. 0,57 (EF ≤35 %-Klassifikation).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22 europäische Zentren, Europa-weite Kooperation, aber spezialisierte CMR/Genetik-Expertise erforderlich.</w:t>
      </w:r>
    </w:p>
    <w:p>
      <w:r>
        <w:rPr>
          <w:color w:val="5A7D3A"/>
          <w:sz w:val="18"/>
        </w:rPr>
        <w:t>https://pubmed.ncbi.nlm.nih.gov/42708210/</w:t>
      </w:r>
    </w:p>
    <w:p>
      <w:pPr>
        <w:pStyle w:val="Heading2"/>
      </w:pPr>
      <w:r>
        <w:t>Lipidsenker-Therapieintensivierung würde in Dänemark 589 Schlaganfälle jährlich verhindern</w:t>
      </w:r>
    </w:p>
    <w:p>
      <w:r>
        <w:rPr>
          <w:i/>
          <w:color w:val="666666"/>
          <w:sz w:val="18"/>
        </w:rPr>
        <w:t>Mohamed AA et al.  ·  Open Heart  ·  07.09.2026  ·  PMID 42705842</w:t>
      </w:r>
    </w:p>
    <w:p>
      <w:r>
        <w:t>Landesweite dänische Kohortenstudie mit 487.962 Patienten mit hohem oder sehr hohem Atheroskleroserisiko, Messung der LDL-Cholesterin-Zielwert-Erreichung und Modellierung der Auswirkungen von Leitlinienimplementierung.</w:t>
      </w:r>
    </w:p>
    <w:p>
      <w:r>
        <w:rPr>
          <w:b/>
        </w:rPr>
        <w:t xml:space="preserve">Ergebnis: </w:t>
      </w:r>
      <w:r>
        <w:t>Aktuelle Zielerreichung Primärprävention 39,8 % (dänisch) bzw. 15,1 % (europäisch), Sekundärprävention 18,8 %. Mit optimaler Umsetzung Steigerung auf 91,9 % (dänisch) bzw. 75,8 % (europäisch). Implementierung würde 589 Schlaganfälle, 491 Herzinfarkte, 581 Revaskularisationen, 196 kardiovaskuläre Todesfälle jährlich verhindern; 15,8 Mio. € Kosteneinsparung.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vergleichbares nordeuropäisches Versicherungssystem, aber restriktivere PCSK9-Inhibitor-Erstattung.</w:t>
      </w:r>
    </w:p>
    <w:p>
      <w:r>
        <w:rPr>
          <w:color w:val="5A7D3A"/>
          <w:sz w:val="18"/>
        </w:rPr>
        <w:t>https://pubmed.ncbi.nlm.nih.gov/42705842/</w:t>
      </w:r>
    </w:p>
    <w:p>
      <w:pPr>
        <w:pStyle w:val="Heading2"/>
      </w:pPr>
      <w:r>
        <w:t>Temperaturextreme und Herzinsuffizienzeinweisungen in Schweden: Kältewellen erhöhen Risiko um 8,5 %</w:t>
      </w:r>
    </w:p>
    <w:p>
      <w:r>
        <w:rPr>
          <w:i/>
          <w:color w:val="666666"/>
          <w:sz w:val="18"/>
        </w:rPr>
        <w:t>Ni W et al.  ·  J Am Coll Cardiol  ·  01.09.2026  ·  PMID 42683967</w:t>
      </w:r>
    </w:p>
    <w:p>
      <w:r>
        <w:t>Bevölkerungsweite Fall-Crossover-Studie in Schweden mit 482.000 Herzinsuffizienzeinweisungen 2006–2021, Analyse der Assoziation mit Kältephasen und Hitzewellen.</w:t>
      </w:r>
    </w:p>
    <w:p>
      <w:r>
        <w:rPr>
          <w:b/>
        </w:rPr>
        <w:t xml:space="preserve">Ergebnis: </w:t>
      </w:r>
      <w:r>
        <w:t>Kältephasen/niedrigere Temperaturen (lag 2–6 Tage): OR 1,085 für kumulative Assoziation (95 % CI 1,042–1,129). Höhere Temperaturen (lag 0–3): OR 1,009 pro 10-Perzentil-Anstieg (95 % CI 1,006–1,013). Höhere Risiken verzögert bei Kälte, unmittelbar bei Hitze.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aber klimageografische Besonderheiten; Befund temperaturunabhängig übertragbar.</w:t>
      </w:r>
    </w:p>
    <w:p>
      <w:r>
        <w:rPr>
          <w:color w:val="5A7D3A"/>
          <w:sz w:val="18"/>
        </w:rPr>
        <w:t>https://pubmed.ncbi.nlm.nih.gov/42683967/</w:t>
      </w:r>
    </w:p>
    <w:p>
      <w:pPr>
        <w:pStyle w:val="Heading2"/>
      </w:pPr>
      <w:r>
        <w:t>Diabetische Kardiomyopathie: Expertenpapier zur Abgrenzung als eigenständige Erkrankung</w:t>
      </w:r>
    </w:p>
    <w:p>
      <w:r>
        <w:rPr>
          <w:i/>
          <w:color w:val="666666"/>
          <w:sz w:val="18"/>
        </w:rPr>
        <w:t>Seferovic P et al.  ·  Eur Heart J  ·  02.09.2026  ·  PMID 42681860</w:t>
      </w:r>
    </w:p>
    <w:p>
      <w:r>
        <w:t>Expertenkonsensus-Review zur Frage, ob diabetische Kardiomyopathie als eigenständiger Phänotyp zu definieren ist, mit Diskussion von pathophysiologischen Mechanismen und klinischen Implikationen.</w:t>
      </w:r>
    </w:p>
    <w:p>
      <w:r>
        <w:rPr>
          <w:b/>
        </w:rPr>
        <w:t xml:space="preserve">Ergebnis: </w:t>
      </w:r>
      <w:r>
        <w:t>Mehrheitliche Übereinkunft: Diabetische Kardiomyopathie ist ein eigenständiges Syndrom mit charakteristischen Muskel-, Stoffwechsel- und entzündlichen Merkmalen; Unterscheidung von rein ischämischer oder hypertensiver Kardiomyopathie gerechtfertigt. Empfehlung für zukünftige therapeutische Ansätze.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Expertenkonsens international, Leitlinien-relevant für Diabetes-Kardiologie-Interface in Deutschland.</w:t>
      </w:r>
    </w:p>
    <w:p>
      <w:r>
        <w:rPr>
          <w:color w:val="5A7D3A"/>
          <w:sz w:val="18"/>
        </w:rPr>
        <w:t>https://pubmed.ncbi.nlm.nih.gov/42681860/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Kardiologie</dc:title>
  <dc:subject/>
  <dc:creator>Monitor Versorgungsforschung</dc:creator>
  <cp:keywords/>
  <dc:description>generated by python-docx</dc:description>
  <cp:lastModifiedBy/>
  <cp:revision>1</cp:revision>
  <dcterms:created xsi:type="dcterms:W3CDTF">2026-09-11T06:00:00Z</dcterms:created>
  <dcterms:modified xsi:type="dcterms:W3CDTF">2026-09-11T06:00:00Z</dcterms:modified>
  <cp:category/>
</cp:coreProperties>
</file>