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14.10.2026  |  6 Studien  |  kardio.m-vf.de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Left-atrial-Steifheit und mechanische Dispersion vorhersagen Herzinfarkt und Vorhofflimmern</w:t>
      </w:r>
    </w:p>
    <w:p>
      <w:r>
        <w:rPr>
          <w:i/>
          <w:color w:val="666666"/>
          <w:sz w:val="18"/>
        </w:rPr>
        <w:t>Solberg MG et al.  ·  Int J Cardiol  ·  13.10.2026  ·  PMID 42869331</w:t>
      </w:r>
    </w:p>
    <w:p>
      <w:r>
        <w:t>Bevölkerungskohorten-Studie mit 3.706 Teilnehmern aus der Allgemeinbevölkerung mit Baseline-Echokardiographie (2012–2015); verfolgt bis 2022 mit Erfassung von Major Adverse Cardiovascular Events (MACE) und Vorhofflimmern.</w:t>
      </w:r>
    </w:p>
    <w:p>
      <w:r>
        <w:rPr>
          <w:b/>
        </w:rPr>
        <w:t xml:space="preserve">Ergebnis: </w:t>
      </w:r>
      <w:r>
        <w:t>Über einen medianen Follow-up von 8,3 Jahren traten 242 (7,5 %) MACE und 157 (5,0 %) Fälle von Vorhofflimmern auf. Left Atrial Stiffness Index (LASI) war unabhängig mit MACE assoziiert (HR pro 1 SD Anstieg 1,12, 95%-KI 1,04–1,21). Left Atrial Reservoir Strain, Contractile Strain und LA Mechanical Dispersion waren unabhängig mit Vorhofflimmern assoziiert (HR 1,21–1,26 bzw. 1,23 pro 1 SD Dekrement/Anstieg).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 Population-basierte Kohort, vergleichbar mit deutschem Versorgungssystem</w:t>
      </w:r>
    </w:p>
    <w:p>
      <w:r>
        <w:rPr>
          <w:color w:val="5A7D3A"/>
          <w:sz w:val="18"/>
        </w:rPr>
        <w:t>https://pubmed.ncbi.nlm.nih.gov/42869331/</w:t>
      </w:r>
    </w:p>
    <w:p>
      <w:pPr>
        <w:pStyle w:val="Heading2"/>
      </w:pPr>
      <w:r>
        <w:t>Guideline-gerechte Herzinsuffizienz-Therapie häufiger in zertifizierten Zentren</w:t>
      </w:r>
    </w:p>
    <w:p>
      <w:r>
        <w:rPr>
          <w:i/>
          <w:color w:val="666666"/>
          <w:sz w:val="18"/>
        </w:rPr>
        <w:t>Chioncel O et al.  ·  Eur J Heart Fail  ·  13.10.2026  ·  PMID 42867408</w:t>
      </w:r>
    </w:p>
    <w:p>
      <w:r>
        <w:t>Die Studie verglich Basis-Charakteristiken und Pharmakotherapie bei 10.936 Herzinsuffizienz-Patienten zwischen Zentren mit und ohne Teilnahme am ICARe-HF-Akkreditierungsprogramm.</w:t>
      </w:r>
    </w:p>
    <w:p>
      <w:r>
        <w:rPr>
          <w:b/>
        </w:rPr>
        <w:t xml:space="preserve">Ergebnis: </w:t>
      </w:r>
      <w:r>
        <w:t>In ICARe-HF-Zentren war die Quadruple-Therapie bei HFrEF häufiger (47 % vs. 40 % bei chronischer; 27 % vs. 24 % bei akuter HF). Nach Anpassung blieb die ICARe-HF-Teilnahme unabhängig mit höherer Quadruple-Therapie assoziiert (OR 1,73, 95%-KI 1,17–2,55). Die Mortalität in den Zentren unterschied sich nach Anpassung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Registry; Strukturqualität und Prozessqualität messbar</w:t>
      </w:r>
    </w:p>
    <w:p>
      <w:r>
        <w:rPr>
          <w:color w:val="5A7D3A"/>
          <w:sz w:val="18"/>
        </w:rPr>
        <w:t>https://pubmed.ncbi.nlm.nih.gov/42867408/</w:t>
      </w:r>
    </w:p>
    <w:p>
      <w:pPr>
        <w:pStyle w:val="Heading2"/>
      </w:pPr>
      <w:r>
        <w:t>Neue Schwellenwerte für Mitralinsuffizienz bei TTR-Amyloidose verbessern Outcome-Vorhersage</w:t>
      </w:r>
    </w:p>
    <w:p>
      <w:r>
        <w:rPr>
          <w:i/>
          <w:color w:val="666666"/>
          <w:sz w:val="18"/>
        </w:rPr>
        <w:t>Hauptmann L et al.  ·  Circulation  ·  13.10.2026  ·  PMID 42866868</w:t>
      </w:r>
    </w:p>
    <w:p>
      <w:r>
        <w:t>Multicenter-Kohortenstudie an 1.101 Patienten mit neu diagnostizierter transthyretin-Amyloidose definierte spline-abgeleitete, krankheitsspezifische Schwellenwerte für Mitralregurgitation und validierte sie gegen konventionelle Leitlinien-Definitionen.</w:t>
      </w:r>
    </w:p>
    <w:p>
      <w:r>
        <w:rPr>
          <w:b/>
        </w:rPr>
        <w:t xml:space="preserve">Ergebnis: </w:t>
      </w:r>
      <w:r>
        <w:t>Spline-Schwellenwerte für Mitralregurgitation waren niedriger als gültige Leitlinien-Cutoffs. Das composite MR-Grading-Schema klassifizierte 21 % als schwere MR (vs. 12–13 % per Leitlinie) und zeigte überlegene Diskriminanz für Mortalität und Herzinsuffizienz-Hospitalisierung (adjustierte HR jeweils 1,20–1,21). Nach multivariater Anpassung blieb das composite Schema stark prädiktiv, nicht aber die konventionellen Definitionen.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Multicenter-Studie; TTR-Amyloidose in Deutschland zunehmend erkannt, neue Schwellenwerte für echokardiografische Feinsteuerung relevant</w:t>
      </w:r>
    </w:p>
    <w:p>
      <w:r>
        <w:rPr>
          <w:color w:val="5A7D3A"/>
          <w:sz w:val="18"/>
        </w:rPr>
        <w:t>https://pubmed.ncbi.nlm.nih.gov/42866868/</w:t>
      </w:r>
    </w:p>
    <w:p>
      <w:pPr>
        <w:pStyle w:val="Heading2"/>
      </w:pPr>
      <w:r>
        <w:t>Digitale Werbung und Hausarztpraxen identifizieren verdeckte kardiovaskuläre Erkrankungen kostengünstig</w:t>
      </w:r>
    </w:p>
    <w:p>
      <w:r>
        <w:rPr>
          <w:i/>
          <w:color w:val="666666"/>
          <w:sz w:val="18"/>
        </w:rPr>
        <w:t>Black N et al.  ·  Eur J Heart Fail  ·  13.10.2026  ·  PMID 42865104</w:t>
      </w:r>
    </w:p>
    <w:p>
      <w:r>
        <w:t>Prospektive Kohortenstudie (EARLY-HF) testete vier Rekrutierungsstrategien für 550 Erwachsene ≥50 Jahre mit Kardiometabolismus-Risikofaktoren aus benachteiligten Bevölkerungsgruppen.</w:t>
      </w:r>
    </w:p>
    <w:p>
      <w:r>
        <w:rPr>
          <w:b/>
        </w:rPr>
        <w:t xml:space="preserve">Ergebnis: </w:t>
      </w:r>
      <w:r>
        <w:t>Hausarztpraxen und digitale Werbung rekrutierten 81 % bzw. 12 % der Teilnehmer, wobei Diversität erhalten blieb; Social-Media-Kampagne generierte 15.207 Clicks und 1.012 Anmeldungen für 5,93 £ pro Sign-up. 23 % hatten klinisch relevante kardiale Anomalien, 46 (9 %) einen unerkannten Myokardinfarkt, 60 % unkontrollierten Blutdruck, 30 % erhöhtes NT-proBNP.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UK-Studie; Konzept der versteckten Erkrankungen in benachteiligten Gruppen auf deutsche Praxisstrukturen übertragbar</w:t>
      </w:r>
    </w:p>
    <w:p>
      <w:r>
        <w:rPr>
          <w:color w:val="5A7D3A"/>
          <w:sz w:val="18"/>
        </w:rPr>
        <w:t>https://pubmed.ncbi.nlm.nih.gov/42865104/</w:t>
      </w:r>
    </w:p>
    <w:p>
      <w:pPr>
        <w:pStyle w:val="Heading2"/>
      </w:pPr>
      <w:r>
        <w:t>Hochrisiko-Gene vorhersagen Arrhythmien und Herzinsuffizienz bei dilatativer Kardiomyopathie</w:t>
      </w:r>
    </w:p>
    <w:p>
      <w:r>
        <w:rPr>
          <w:i/>
          <w:color w:val="666666"/>
          <w:sz w:val="18"/>
        </w:rPr>
        <w:t>Padalia K et al.  ·  Eur Heart J  ·  13.10.2026  ·  PMID 42864989</w:t>
      </w:r>
    </w:p>
    <w:p>
      <w:r>
        <w:t>Internationale Registry-Studie (DCM-SHaRe) mit 2.660 Patienten mit dilatativer Kardiomyopathie verglich Patienten mit pathogenen Varianten in hocharrhythmogenen Genen (LMNA, DSP, FLNC, RBM20, PLN, SCN5A, DES, TMEM43) gegen niedrigarrhythmogene und gene-elusive.</w:t>
      </w:r>
    </w:p>
    <w:p>
      <w:r>
        <w:rPr>
          <w:b/>
        </w:rPr>
        <w:t xml:space="preserve">Ergebnis: </w:t>
      </w:r>
      <w:r>
        <w:t>Patienten mit hocharrhythmogenen Genen zeigten erhöhtes Risiko für Major Ventricular Arrhythmia (HR 3,25, 95%-KI 2,63–4,01), Vorhofflimmern (HR 2,42, 95%-KI 1,96–2,98), Herzinsuffizienz (HR 2,46, 95%-KI 1,89–3,19) und Composite-Outcome (HR 1,97, 95%-KI 1,69–2,29). Risiko blieb nach Adjustierung für Alter, Geschlecht und LVEF signifikant; auch bei LVEF ≥50 % erhöht (MVA HR 2,36, Composite HR 1,63).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Multicenter-Genetik-Registry; Genetische Testung für Risikostratifikation etabliert</w:t>
      </w:r>
    </w:p>
    <w:p>
      <w:r>
        <w:rPr>
          <w:color w:val="5A7D3A"/>
          <w:sz w:val="18"/>
        </w:rPr>
        <w:t>https://pubmed.ncbi.nlm.nih.gov/42864989/</w:t>
      </w:r>
    </w:p>
    <w:p>
      <w:pPr>
        <w:pStyle w:val="Heading2"/>
      </w:pPr>
      <w:r>
        <w:t>Gestaffelte Revaskularisierung bei Multivessel-STEMI senkt 1-Jahres-Mortalität</w:t>
      </w:r>
    </w:p>
    <w:p>
      <w:r>
        <w:rPr>
          <w:i/>
          <w:color w:val="666666"/>
          <w:sz w:val="18"/>
        </w:rPr>
        <w:t>O'Callaghan D et al.  ·  JACC Cardiovasc Interv  ·  12.10.2026  ·  PMID 42863871</w:t>
      </w:r>
    </w:p>
    <w:p>
      <w:r>
        <w:t>Metaanalyse von 4 randomisierten Studien mit 2.651 Patienten verglich sofortige vs. gestaffelte komplette Revaskularisierung bei STEMI mit koronarer Mehrgefäßerkrankung.</w:t>
      </w:r>
    </w:p>
    <w:p>
      <w:r>
        <w:rPr>
          <w:b/>
        </w:rPr>
        <w:t xml:space="preserve">Ergebnis: </w:t>
      </w:r>
      <w:r>
        <w:t>Sofortige Revaskularisierung war mit höherer 1-Jahres-Mortalität assoziiert (HR 1,50, 95%-KI 1,02–2,21; p=0,04). Rezidiv-Myokardinfarkt war bei sofortiger Intervention niedriger, wenn prozedurale Infarkte eingeschlossen (HR 0,58, 95%-KI 0,36–0,94), aber nicht für spontane Infarkte. Kardiale Mortalität und ungeplante Revaskularisierung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Randomisierte Multicenter-Daten; direkt auf deutsches Herzkatheterlabor-Management übertragbar</w:t>
      </w:r>
    </w:p>
    <w:p>
      <w:r>
        <w:rPr>
          <w:color w:val="5A7D3A"/>
          <w:sz w:val="18"/>
        </w:rPr>
        <w:t>https://pubmed.ncbi.nlm.nih.gov/42863871/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