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29.10.2026  |  286 Studien  |  kardio.m-vf.de</w:t>
      </w:r>
    </w:p>
    <w:p>
      <w:pPr>
        <w:pStyle w:val="Heading1"/>
      </w:pPr>
      <w:r>
        <w:t>Aufgenommen am 29.10.2026</w:t>
      </w:r>
    </w:p>
    <w:p>
      <w:pPr>
        <w:pStyle w:val="Heading2"/>
      </w:pPr>
      <w:r>
        <w:t>Pulsfeldablation senkt Rezidive bei Vorhofflimmern und hypertropher Kardiomyopathie</w:t>
      </w:r>
    </w:p>
    <w:p>
      <w:r>
        <w:rPr>
          <w:i/>
          <w:color w:val="666666"/>
          <w:sz w:val="18"/>
        </w:rPr>
        <w:t>Johner N et al.  ·  Heart Rhythm  ·  28.10.2026  ·  PMID 42951093</w:t>
      </w:r>
    </w:p>
    <w:p>
      <w:r>
        <w:t>Vergleich von Ablationsverfahren (Pulsfeldablation, Kryoballon, Radiofrequenz) bei 364 Patienten mit hypertropher Kardiomyopathie und Vorhofflimmern bezüglich Rezidivraten und Sicherheit über 24 Monate.</w:t>
      </w:r>
    </w:p>
    <w:p>
      <w:r>
        <w:rPr>
          <w:b/>
        </w:rPr>
        <w:t xml:space="preserve">Ergebnis: </w:t>
      </w:r>
      <w:r>
        <w:t>Pulsfeldablation zeigte gegenüber Radiofrequenz eine um 43 % gesenkte Arrhythmierezidivrate (adjustierte HR 0,57; 95%-KI 0,36–0,91; p=0,018) und 57 % weniger kardiovaskuläre Hospitalisierungen (HR 0,43; 95%-KI 0,23–0,80; p=0,008). Verbesserung der NYHA-Klasse war signifikant (p=0,032). Kryoballon unterschied sich nicht signifikant von den anderen Verfahren. Komplikationen traten in 1,2 % (Pulsfeld), 4,0 % (Kryoballon) und 5,2 % (Radiofrequenz) auf.</w:t>
      </w:r>
    </w:p>
    <w:p>
      <w:r>
        <w:rPr>
          <w:b/>
          <w:sz w:val="19"/>
        </w:rPr>
        <w:t xml:space="preserve">Übertragbarkeit: </w:t>
      </w:r>
      <w:r>
        <w:rPr>
          <w:sz w:val="19"/>
        </w:rPr>
        <w:t>Europäische Multizenterstudie mit etablierter Ablations-Infrastruktur; Ergebnisse übertragbar auf deutsche Herzchirurgie-Zentren mit Elektrophysiologie.</w:t>
      </w:r>
    </w:p>
    <w:p>
      <w:r>
        <w:rPr>
          <w:color w:val="5A7D3A"/>
          <w:sz w:val="18"/>
        </w:rPr>
        <w:t>https://pubmed.ncbi.nlm.nih.gov/42951093/</w:t>
      </w:r>
    </w:p>
    <w:p>
      <w:pPr>
        <w:pStyle w:val="Heading2"/>
      </w:pPr>
      <w:r>
        <w:t>PROPER-Trial: Kann verlängerte Perikarddrainage postoperatives Vorhofflimmern nach Herzchirurgie senken?</w:t>
      </w:r>
    </w:p>
    <w:p>
      <w:r>
        <w:rPr>
          <w:i/>
          <w:color w:val="666666"/>
          <w:sz w:val="18"/>
        </w:rPr>
        <w:t>Johannesson E et al.  ·  Am Heart J  ·  28.10.2026  ·  PMID 42951054</w:t>
      </w:r>
    </w:p>
    <w:p>
      <w:r>
        <w:t>Prospektive, multizentrische, randomisierte Studie an 8 nordischen Herzchirurgie-Zentren mit 624 Patienten: Vergleich prolongierter posteriorer Perikarddrainage versus Standardversorgung nach elektiver koronarer Bypass-, Aortenklappenersatz- oder Aortenchirurgie. Primärer Endpunkt ist Vorhofflimmern innerhalb von 7 Tagen; sekundäre Endpunkte umfassen Rezidive, Blutungs- oder Schlaganfallhospitalisierungen und Mortalität über 5 Jahre.</w:t>
      </w:r>
    </w:p>
    <w:p>
      <w:r>
        <w:rPr>
          <w:b/>
        </w:rPr>
        <w:t xml:space="preserve">Ergebnis: </w:t>
      </w:r>
      <w:r>
        <w:t>Studiendesign und Rationale: Perikardiales Blutödem wird als Auslöser für postoperatives Vorhofflimmern vermutet; prolongierte Drainage könnte dies verhindern. Rekrutierung abgeschlossen, Ergebnisse ausstehend. Die Maßnahme ist niedrigriskant und könnte bei Erfolg breite Anwendung finden.</w:t>
      </w:r>
    </w:p>
    <w:p>
      <w:r>
        <w:rPr>
          <w:b/>
          <w:sz w:val="19"/>
        </w:rPr>
        <w:t xml:space="preserve">Übertragbarkeit: </w:t>
      </w:r>
      <w:r>
        <w:rPr>
          <w:sz w:val="19"/>
        </w:rPr>
        <w:t>Nordische Herzchirurgie-Zentren, vergleichbare Strukturen und Dokumentation wie deutsche Kliniken mit Herzchirurgie.</w:t>
      </w:r>
    </w:p>
    <w:p>
      <w:r>
        <w:rPr>
          <w:color w:val="5A7D3A"/>
          <w:sz w:val="18"/>
        </w:rPr>
        <w:t>https://pubmed.ncbi.nlm.nih.gov/42951054/</w:t>
      </w:r>
    </w:p>
    <w:p>
      <w:pPr>
        <w:pStyle w:val="Heading2"/>
      </w:pPr>
      <w:r>
        <w:t>Vorhof- und rechtsventrikuläre Entkopplung prognostiziert Mortalität bei mittelschwerer Aortenstenose</w:t>
      </w:r>
    </w:p>
    <w:p>
      <w:r>
        <w:rPr>
          <w:i/>
          <w:color w:val="666666"/>
          <w:sz w:val="18"/>
        </w:rPr>
        <w:t>Santangelo G et al.  ·  Int J Cardiol  ·  28.10.2026  ·  PMID 42951035</w:t>
      </w:r>
    </w:p>
    <w:p>
      <w:r>
        <w:t>Retrospektive Studie mit 135 Patienten mit mittelschwerer Aortenstenose; Prüfung zweier echokardiographischer Kopplungsindizes (TAPSE/PASP-Ratio und linkskammer-volumetrisch-mechanischer Kopplungsindex LACI) als Prognoseparameter über 1,6 Jahre.</w:t>
      </w:r>
    </w:p>
    <w:p>
      <w:r>
        <w:rPr>
          <w:b/>
        </w:rPr>
        <w:t xml:space="preserve">Ergebnis: </w:t>
      </w:r>
      <w:r>
        <w:t>33 Patienten (24 %) starben während Follow-up. Reduzierte TAPSE/PASP (&lt;0,67 mm/mmHg) und erhöhter LACI (&gt;5,17) waren unabhängig mit erhöhter Mortalität assoziiert (HR jeweils ~3,0–3,2; p&lt;0,01). Die Stratifizierung in drei Gruppen (beidseitig erhalten, einfache oder kombinierte Entkopplung) zeigte 1-Jahres-Überlebensraten von 95 % bis 49 % (p&lt;0,0001). Keine Assoziation mit hämodynamischer Progression oder Klappenwechsel.</w:t>
      </w:r>
    </w:p>
    <w:p>
      <w:r>
        <w:rPr>
          <w:b/>
          <w:sz w:val="19"/>
        </w:rPr>
        <w:t xml:space="preserve">Übertragbarkeit: </w:t>
      </w:r>
      <w:r>
        <w:rPr>
          <w:sz w:val="19"/>
        </w:rPr>
        <w:t>Italienisches Zentrum mit europäischen Echokardiographie-Standards; Indizes anwendbar in deutschen kardiologischen Abteilungen.</w:t>
      </w:r>
    </w:p>
    <w:p>
      <w:r>
        <w:rPr>
          <w:color w:val="5A7D3A"/>
          <w:sz w:val="18"/>
        </w:rPr>
        <w:t>https://pubmed.ncbi.nlm.nih.gov/42951035/</w:t>
      </w:r>
    </w:p>
    <w:p>
      <w:pPr>
        <w:pStyle w:val="Heading2"/>
      </w:pPr>
      <w:r>
        <w:t>Rechtsvorhof-Strain in CMR verbessert Prognose bei HFmrEF unabhängig vom linken Ventrikel</w:t>
      </w:r>
    </w:p>
    <w:p>
      <w:r>
        <w:rPr>
          <w:i/>
          <w:color w:val="666666"/>
          <w:sz w:val="18"/>
        </w:rPr>
        <w:t>Wang W et al.  ·  Eur Heart J Cardiovasc Imaging  ·  28.10.2026  ·  PMID 42950123</w:t>
      </w:r>
    </w:p>
    <w:p>
      <w:r>
        <w:t>Retrospektive Multizenterstudie mit 1.317 Patienten mit HFmrEF (Herzkatheter und Echokardiographie zwischen April 2016 und September 2024); Validierung in 385 weiteren Patienten (Januar 2019 bis Januar 2025). Primärer Endpunkt: kombiniert Gesamtmortalität, HF-Hospitalisierung oder Herztransplantation über median 2,8 bzw. 2,1 Jahre.</w:t>
      </w:r>
    </w:p>
    <w:p>
      <w:r>
        <w:rPr>
          <w:b/>
        </w:rPr>
        <w:t xml:space="preserve">Ergebnis: </w:t>
      </w:r>
      <w:r>
        <w:t>243 (Entwicklungs-) und 72 (Validierungs-)Patienten erreichten den Primärendpunkt. Der rechtsventrikuläre Conduit-Strain war unabhängiger Prädiktor (HR 0,86 pro 1 %-Einheit; 95%-KI 0,82–0,90; p&lt;0,001). Das Vollmodell mit klinischen Variablen, traditioneller Bildgebung und Vorhof-Strain erzielte beste Diskriminierung (C-Index 0,80 in Entwicklung, 0,81 in Validierung).</w:t>
      </w:r>
    </w:p>
    <w:p>
      <w:r>
        <w:rPr>
          <w:b/>
          <w:sz w:val="19"/>
        </w:rPr>
        <w:t xml:space="preserve">Übertragbarkeit: </w:t>
      </w:r>
      <w:r>
        <w:rPr>
          <w:sz w:val="19"/>
        </w:rPr>
        <w:t>China und europäische Zentren mit CMR-Technologie; Methodik und Cutoff-Werte übertragbar auf deutsche Universitätskliniken.</w:t>
      </w:r>
    </w:p>
    <w:p>
      <w:r>
        <w:rPr>
          <w:color w:val="5A7D3A"/>
          <w:sz w:val="18"/>
        </w:rPr>
        <w:t>https://pubmed.ncbi.nlm.nih.gov/42950123/</w:t>
      </w:r>
    </w:p>
    <w:p>
      <w:pPr>
        <w:pStyle w:val="Heading2"/>
      </w:pPr>
      <w:r>
        <w:t>Notfall-TAVI bei akuter schwerer Aortenstenose: hohe Erfolgsrate, niedriges Frührisiko, gute funktionelle Erholung</w:t>
      </w:r>
    </w:p>
    <w:p>
      <w:r>
        <w:rPr>
          <w:i/>
          <w:color w:val="666666"/>
          <w:sz w:val="18"/>
        </w:rPr>
        <w:t>Zhao M et al.  ·  Eur Heart J Acute Cardiovasc Care  ·  27.10.2026  ·  PMID 42934199</w:t>
      </w:r>
    </w:p>
    <w:p>
      <w:r>
        <w:t>Prospektive Kohortenstudie an einem chinesischen Zentrum (2022–2025): 53 Patienten mit akut dekompensierter schwerer Aortenstenose, davon 36 dringende, 14 notfall- und 3 Rettungs-TAVI. Primärer Endpunkt 12-Monats-Gesamtmortalität; sekundär: Geräteerfolg, 30-Tage-Sicherheit, funktionelle und echokardiographische Erholung.</w:t>
      </w:r>
    </w:p>
    <w:p>
      <w:r>
        <w:rPr>
          <w:b/>
        </w:rPr>
        <w:t xml:space="preserve">Ergebnis: </w:t>
      </w:r>
      <w:r>
        <w:t>Geräteerfolg 98,1 % (52/53). 30-Tage-Mortalität: 1/36 (dringend), 0/14 (notfall), 0/3 (rettung). 12-Monats-Mortalität 3/53. Kaplan-Meier 12-Monats-Überleben 94,3 % (95%-KI 83,5–98,1 %). Permanenter AV-Block 0/53; NYHA-Klasse, KCCQ-12, LVEF und transvalvuläre Gradienten verbesserten sich signifikant (alle p&lt;0,001).</w:t>
      </w:r>
    </w:p>
    <w:p>
      <w:r>
        <w:rPr>
          <w:b/>
          <w:sz w:val="19"/>
        </w:rPr>
        <w:t xml:space="preserve">Übertragbarkeit: </w:t>
      </w:r>
      <w:r>
        <w:rPr>
          <w:sz w:val="19"/>
        </w:rPr>
        <w:t>China mit etabliertem TAVI-Programm; Ergebnisse zu akuter Indikation und Langzeit-Outcome relevant für deutsche Herzzentren.</w:t>
      </w:r>
    </w:p>
    <w:p>
      <w:r>
        <w:rPr>
          <w:color w:val="5A7D3A"/>
          <w:sz w:val="18"/>
        </w:rPr>
        <w:t>https://pubmed.ncbi.nlm.nih.gov/42934199/</w:t>
      </w:r>
    </w:p>
    <w:p>
      <w:pPr>
        <w:pStyle w:val="Heading2"/>
      </w:pPr>
      <w:r>
        <w:t>Blutdruck nach TAVI: U-Form des Outcome-Risikos mit Optimum bei moderater Senkung</w:t>
      </w:r>
    </w:p>
    <w:p>
      <w:r>
        <w:rPr>
          <w:i/>
          <w:color w:val="666666"/>
          <w:sz w:val="18"/>
        </w:rPr>
        <w:t>Stolte T et al.  ·  J Am Heart Assoc  ·  20.10.2026  ·  PMID 42857989</w:t>
      </w:r>
    </w:p>
    <w:p>
      <w:r>
        <w:t>Analyse von 1.191 TAVI-Patienten mit Messung des Blutdrucks vor und nach Eingriff sowie Verfolgung der kardiovaskulären Ereignisse über 12 Monate.</w:t>
      </w:r>
    </w:p>
    <w:p>
      <w:r>
        <w:rPr>
          <w:b/>
        </w:rPr>
        <w:t xml:space="preserve">Ergebnis: </w:t>
      </w:r>
      <w:r>
        <w:t>Beim Entlassungsblutdruck zeigte sich eine U-förmige Assoziation mit MACE: systolische Werte &lt;115 mmHg oder &gt;143 mmHg waren mit erhöhtem 1-Jahres-Risiko verbunden (p&lt;0,001). Eine moderate Senkung um 5–25 mmHg war mit niedrigerem MACE-Risiko assoziiert. Der Baseline-Blutdruck war nicht signifikant assoziiert.</w:t>
      </w:r>
    </w:p>
    <w:p>
      <w:r>
        <w:rPr>
          <w:b/>
          <w:sz w:val="19"/>
        </w:rPr>
        <w:t xml:space="preserve">Übertragbarkeit: </w:t>
      </w:r>
      <w:r>
        <w:rPr>
          <w:sz w:val="19"/>
        </w:rPr>
        <w:t>Universitätsspital Basel, vergleichbare europäische Struktur; Erkenntnis unmittelbar auf deutsche TAVI-Zentren anwendbar.</w:t>
      </w:r>
    </w:p>
    <w:p>
      <w:r>
        <w:rPr>
          <w:color w:val="5A7D3A"/>
          <w:sz w:val="18"/>
        </w:rPr>
        <w:t>https://pubmed.ncbi.nlm.nih.gov/42857989/</w:t>
      </w:r>
    </w:p>
    <w:p>
      <w:pPr>
        <w:pStyle w:val="Heading1"/>
      </w:pPr>
      <w:r>
        <w:t>Aufgenommen am 28.10.2026</w:t>
      </w:r>
    </w:p>
    <w:p>
      <w:pPr>
        <w:pStyle w:val="Heading2"/>
      </w:pPr>
      <w:r>
        <w:t>Linker Schenkelblock-Pacing überlegen bei Auswurffraktion und mechanischer Synchronie</w:t>
      </w:r>
    </w:p>
    <w:p>
      <w:r>
        <w:rPr>
          <w:i/>
          <w:color w:val="666666"/>
          <w:sz w:val="18"/>
        </w:rPr>
        <w:t>Huang X et al.  ·  Heart Rhythm  ·  27.10.2026  ·  PMID 42946317</w:t>
      </w:r>
    </w:p>
    <w:p>
      <w:r>
        <w:t>Prospektive Pilot-Vergleichsstudie an 14 Patienten mit reduzierter EF und komplettem Linksschenkelblock: Akute Effekte von Linker-Schenkel-Pacing (LBBP) vs. Linksventrikulärer-Septal-Pacing (LVSP) auf Mechanik und Resynchronisierung per Echokardiographie und EKG.</w:t>
      </w:r>
    </w:p>
    <w:p>
      <w:r>
        <w:rPr>
          <w:b/>
        </w:rPr>
        <w:t xml:space="preserve">Ergebnis: </w:t>
      </w:r>
      <w:r>
        <w:t>Beide Pacing-Modi reduzierten QRS-Dauer und LV-Aktivierungszeit vs. LBBB (p&lt;0,001); LVSP zeigte breiteres QRS als LBBP (p&lt;0,001). LBBP zeigte bessere mechanische Synchronie (SDI) als LVSP, beide besser als LBBB (alle p&lt;0,001). EF stieg mit beiden Modi, stärker bei LBBP als LVSP. RV-Funktion unverändert in allen Gruppen.</w:t>
      </w:r>
    </w:p>
    <w:p>
      <w:r>
        <w:rPr>
          <w:b/>
          <w:sz w:val="19"/>
        </w:rPr>
        <w:t xml:space="preserve">Übertragbarkeit: </w:t>
      </w:r>
      <w:r>
        <w:rPr>
          <w:sz w:val="19"/>
        </w:rPr>
        <w:t>China, aber CRT-Mechanik universal; für deutsche Schrittmacher-Zentren bei Resynchronisations-Therapie relevant.</w:t>
      </w:r>
    </w:p>
    <w:p>
      <w:r>
        <w:rPr>
          <w:color w:val="5A7D3A"/>
          <w:sz w:val="18"/>
        </w:rPr>
        <w:t>https://pubmed.ncbi.nlm.nih.gov/42946317/</w:t>
      </w:r>
    </w:p>
    <w:p>
      <w:pPr>
        <w:pStyle w:val="Heading2"/>
      </w:pPr>
      <w:r>
        <w:t>Subkutane Furosemid-Infusion zuhause bei HF + chronischer Nierenkrankheit: Machbarkeitsstudie mit Rekrutierung laufend</w:t>
      </w:r>
    </w:p>
    <w:p>
      <w:r>
        <w:rPr>
          <w:i/>
          <w:color w:val="666666"/>
          <w:sz w:val="18"/>
        </w:rPr>
        <w:t>Tumelty E et al.  ·  ESC Heart Fail  ·  27.10.2026  ·  PMID 42945463</w:t>
      </w:r>
    </w:p>
    <w:p>
      <w:r>
        <w:t>Prospektive britische Machbarkeitsstudie (Stage 1: 200 Patienten mit HF und CKD unter Monitoring; Stage 2: 80 mit Flüssigkeitsüberlauf randomisiert zu Heimbehandlung mit subkutanem Furosemid vs. Standardcare), Primäres Outcome Rekrutierung, Bindung und Adhärenz.</w:t>
      </w:r>
    </w:p>
    <w:p>
      <w:r>
        <w:rPr>
          <w:b/>
        </w:rPr>
        <w:t xml:space="preserve">Ergebnis: </w:t>
      </w:r>
      <w:r>
        <w:t>Studienprotokoll; Rekrutierung und Retentionsergebnisse werden erwartet. Ziel: Bewertung der Durchführbarkeit einer randomisierten Studie zu subkutanem Furosemid zur Reduktion von Krankenhauseinweisungen. Tägliche Gewichts- und Vitalzeichen-Überwachung und Kalium-Kontrollen geplant.</w:t>
      </w:r>
    </w:p>
    <w:p>
      <w:r>
        <w:rPr>
          <w:b/>
          <w:sz w:val="19"/>
        </w:rPr>
        <w:t xml:space="preserve">Übertragbarkeit: </w:t>
      </w:r>
      <w:r>
        <w:rPr>
          <w:sz w:val="19"/>
        </w:rPr>
        <w:t>Großbritannien (NHS), vergleichbares Versicherungssystem; Modell für deutsche Heim-Diuretika-Programme adaptierbar.</w:t>
      </w:r>
    </w:p>
    <w:p>
      <w:r>
        <w:rPr>
          <w:color w:val="5A7D3A"/>
          <w:sz w:val="18"/>
        </w:rPr>
        <w:t>https://pubmed.ncbi.nlm.nih.gov/42945463/</w:t>
      </w:r>
    </w:p>
    <w:p>
      <w:pPr>
        <w:pStyle w:val="Heading2"/>
      </w:pPr>
      <w:r>
        <w:t>Verwandte von Patienten mit idiopathischer Kardiomyopathie: 5 % Erkrankungsrisiko pro Jahr</w:t>
      </w:r>
    </w:p>
    <w:p>
      <w:r>
        <w:rPr>
          <w:i/>
          <w:color w:val="666666"/>
          <w:sz w:val="18"/>
        </w:rPr>
        <w:t>Paldino A et al.  ·  JACC Heart Fail  ·  23.10.2026  ·  PMID 42944674</w:t>
      </w:r>
    </w:p>
    <w:p>
      <w:r>
        <w:t>Europäische Multizenter-Kohortenstudie mit 292 Erstgradangehörigen von 118 Probanden mit dilatativer Kardiomyopathie ohne identifizierten genetischen Defekt, Verfolgung auf Erkrankungsentwicklung über median 52 Monate.</w:t>
      </w:r>
    </w:p>
    <w:p>
      <w:r>
        <w:rPr>
          <w:b/>
        </w:rPr>
        <w:t xml:space="preserve">Ergebnis: </w:t>
      </w:r>
      <w:r>
        <w:t>35 von 292 Verwandten entwickelten Erkrankung (14 bei Baseline, 21 während Follow-up) bei einer Inzidenzrate von 17 pro 1.000 Personenjahre. Prädiktoren: familiäre DCM (HR 4,24), QRS &gt;120 ms (HR 7,24), erniedrigte EF (HR 3,73), LV-Dilatation (HR 6,19). Erkrankungsalter bei Proband korrelierte mit Alter bei Manifestation in Verwandten (r=0,80). Ernsthafte kardiale Ereignisse bei 4 %.</w:t>
      </w:r>
    </w:p>
    <w:p>
      <w:r>
        <w:rPr>
          <w:b/>
          <w:sz w:val="19"/>
        </w:rPr>
        <w:t xml:space="preserve">Übertragbarkeit: </w:t>
      </w:r>
      <w:r>
        <w:rPr>
          <w:sz w:val="19"/>
        </w:rPr>
        <w:t>Italien, Niederlande, Spanien – europäische Versorgungsstrukturen, deutsches Screening analog übertragbar.</w:t>
      </w:r>
    </w:p>
    <w:p>
      <w:r>
        <w:rPr>
          <w:color w:val="5A7D3A"/>
          <w:sz w:val="18"/>
        </w:rPr>
        <w:t>https://pubmed.ncbi.nlm.nih.gov/42944674/</w:t>
      </w:r>
    </w:p>
    <w:p>
      <w:pPr>
        <w:pStyle w:val="Heading2"/>
      </w:pPr>
      <w:r>
        <w:t>NT-proBNP vorhersagt Ereignisrisiko gleich stark mit und ohne Vorhofflimmern</w:t>
      </w:r>
    </w:p>
    <w:p>
      <w:r>
        <w:rPr>
          <w:i/>
          <w:color w:val="666666"/>
          <w:sz w:val="18"/>
        </w:rPr>
        <w:t>Shen L et al.  ·  JACC Heart Fail  ·  26.10.2026  ·  PMID 42944673</w:t>
      </w:r>
    </w:p>
    <w:p>
      <w:r>
        <w:t>Post-hoc-Analyse der randomisierten QUEST-Studie mit 3.110 Patienten mit Herzinsuffizienz und reduzierter Auswurffraktion (HFrEF), Behandlung mit chinesischem Phytopharmakon vs. Placebo, Stratifizierung nach NT-proBNP-Quartilen und Vorhofflimmern-Status.</w:t>
      </w:r>
    </w:p>
    <w:p>
      <w:r>
        <w:rPr>
          <w:b/>
        </w:rPr>
        <w:t xml:space="preserve">Ergebnis: </w:t>
      </w:r>
      <w:r>
        <w:t>Höhere NT-proBNP-Spiegel sagten erhöhtes Risiko voraus (Q4 vs. Q1: HR 4,03, 95%-KI 3,12–5,20). Prognostischer Wert von NT-proBNP war unabhängig vom Vorhofflimmern-Status konsistent (alle p-Interaktion ≥0,30). Phytopharmakon reduzierte NT-proBNP um 10 % nach 3 Monaten; Behandlungseffekt auf kardiovaskuläre Ereignisse konsistent über NT-proBNP-Spektrum.</w:t>
      </w:r>
    </w:p>
    <w:p>
      <w:r>
        <w:rPr>
          <w:b/>
          <w:sz w:val="19"/>
        </w:rPr>
        <w:t xml:space="preserve">Übertragbarkeit: </w:t>
      </w:r>
      <w:r>
        <w:rPr>
          <w:sz w:val="19"/>
        </w:rPr>
        <w:t>China – andere Therapie, aber NT-proBNP-Prognostik universal; deutsche Biomarker-Nutzung basiert auf vergleichbaren Mechanismen.</w:t>
      </w:r>
    </w:p>
    <w:p>
      <w:r>
        <w:rPr>
          <w:color w:val="5A7D3A"/>
          <w:sz w:val="18"/>
        </w:rPr>
        <w:t>https://pubmed.ncbi.nlm.nih.gov/42944673/</w:t>
      </w:r>
    </w:p>
    <w:p>
      <w:pPr>
        <w:pStyle w:val="Heading2"/>
      </w:pPr>
      <w:r>
        <w:t>Endovaskuläre Revaskularisierung bei kritischer Gliedischämie: 78 % Gliedrettung nach 2 Jahren</w:t>
      </w:r>
    </w:p>
    <w:p>
      <w:r>
        <w:rPr>
          <w:i/>
          <w:color w:val="666666"/>
          <w:sz w:val="18"/>
        </w:rPr>
        <w:t>Stolk DJ et al.  ·  JACC Cardiovasc Interv  ·  26.10.2026  ·  PMID 42933919</w:t>
      </w:r>
    </w:p>
    <w:p>
      <w:r>
        <w:t>Prospektives niederländisches Register mit 1.060 Gliedmaßen bei chronischer, gliedbedrohender Ischämie, die endovaskulär revaskularisiert wurden, mit Nachverfolgung der Amputation und Überleben.</w:t>
      </w:r>
    </w:p>
    <w:p>
      <w:r>
        <w:rPr>
          <w:b/>
        </w:rPr>
        <w:t xml:space="preserve">Ergebnis: </w:t>
      </w:r>
      <w:r>
        <w:t>Technischer Erfolg 92,3 %; Gliedrettung 78,4 % und amputationsfreies Überleben über 24 Monate. Rutherford-6-Patienten zeigten deutlich schlechtere Ergebnisse (HR für Gliedverlust 3,07, 95%-KI 1,89–4,99; HR für amputationsfreies Überleben 2,07, 95%-KI 1,50–2,86). Überschussrisiko in den ersten 3 Monaten bei schwerer Ischämie besonders ausgeprägt (HR 14,13).</w:t>
      </w:r>
    </w:p>
    <w:p>
      <w:r>
        <w:rPr>
          <w:b/>
          <w:sz w:val="19"/>
        </w:rPr>
        <w:t xml:space="preserve">Übertragbarkeit: </w:t>
      </w:r>
      <w:r>
        <w:rPr>
          <w:sz w:val="19"/>
        </w:rPr>
        <w:t>Niederländische Klinikdaten mit vergleichbarer Sozialversicherung, Übertragbarkeit auf deutsche Versorgung hoch.</w:t>
      </w:r>
    </w:p>
    <w:p>
      <w:r>
        <w:rPr>
          <w:color w:val="5A7D3A"/>
          <w:sz w:val="18"/>
        </w:rPr>
        <w:t>https://pubmed.ncbi.nlm.nih.gov/42933919/</w:t>
      </w:r>
    </w:p>
    <w:p>
      <w:pPr>
        <w:pStyle w:val="Heading2"/>
      </w:pPr>
      <w:r>
        <w:t>Rezidivierende Mitralinsuffizienz nach TEER erhöht Sterblichkeit um 43 %</w:t>
      </w:r>
    </w:p>
    <w:p>
      <w:r>
        <w:rPr>
          <w:i/>
          <w:color w:val="666666"/>
          <w:sz w:val="18"/>
        </w:rPr>
        <w:t>Pauschinger C et al.  ·  JACC Cardiovasc Interv  ·  26.10.2026  ·  PMID 42933917</w:t>
      </w:r>
    </w:p>
    <w:p>
      <w:r>
        <w:t>Deutsche retrospektive Kohortenstudie mit 461 Patienten nach erfolgreicher M-TEER, Nachverfolgung auf rezidivierende Mitralregurgitation (≥1-Grad-Zunahme) und Mortalität über mediane 3,44 Jahre.</w:t>
      </w:r>
    </w:p>
    <w:p>
      <w:r>
        <w:rPr>
          <w:b/>
        </w:rPr>
        <w:t xml:space="preserve">Ergebnis: </w:t>
      </w:r>
      <w:r>
        <w:t>Rezidivierende Mitralregurgitation trat bei 31,7 % auf (104/326 funktional, 42/135 degenerativ). 4-Jahres-Mortalität ohne Rezidiv 44,8 % vs. mit Rezidiv 56,3 % (HR 1,43; 95%-KI 1,06–1,93; p=0,019). Effekt signifikant bei degenerativer (p=0,014), nicht bei funktionaler Mitralregurgitation (p=0,11).</w:t>
      </w:r>
    </w:p>
    <w:p>
      <w:r>
        <w:rPr>
          <w:b/>
          <w:sz w:val="19"/>
        </w:rPr>
        <w:t xml:space="preserve">Übertragbarkeit: </w:t>
      </w:r>
      <w:r>
        <w:rPr>
          <w:sz w:val="19"/>
        </w:rPr>
        <w:t>Deutsche Universitätsklinik Hamburg mit vollständiger Dokumentation, direkt auf deutsche Praxis übertragbar.</w:t>
      </w:r>
    </w:p>
    <w:p>
      <w:r>
        <w:rPr>
          <w:color w:val="5A7D3A"/>
          <w:sz w:val="18"/>
        </w:rPr>
        <w:t>https://pubmed.ncbi.nlm.nih.gov/42933917/</w:t>
      </w:r>
    </w:p>
    <w:p>
      <w:pPr>
        <w:pStyle w:val="Heading2"/>
      </w:pPr>
      <w:r>
        <w:t>Myeloide Zellrekrutierung verbindet Herzinsuffizienz mit sekundärer pulmonaler Hypertonie</w:t>
      </w:r>
    </w:p>
    <w:p>
      <w:r>
        <w:rPr>
          <w:i/>
          <w:color w:val="666666"/>
          <w:sz w:val="18"/>
        </w:rPr>
        <w:t>Gillan JL et al.  ·  Circ Res  ·  26.10.2026  ·  PMID 42929140</w:t>
      </w:r>
    </w:p>
    <w:p>
      <w:r>
        <w:t>Tiermodell-gestützte mechanistische Studie (Maus, Ratte) mit CCR2-Antagonist-Intervention: Nachweis, dass Monozyten-Rekrutierung nach Infarkt systemische pulmonale Gefäßumwandlung und rechtsventrikuläre Dysfunktion treibt; Validierung in menschlichen Lungenproben von PAH- und PH-LHD-Patienten.</w:t>
      </w:r>
    </w:p>
    <w:p>
      <w:r>
        <w:rPr>
          <w:b/>
        </w:rPr>
        <w:t xml:space="preserve">Ergebnis: </w:t>
      </w:r>
      <w:r>
        <w:t>CCR2-Antagonist RS102895 ab Tag 10 post-MI in Mäusen reduzierte Lungenvaskulatur-Umwandlung, RV-Druck (systolisch und diastolisch) und RV-Hypertrophie bei 6 Wochen vs. Kontrolle, ohne linksventrikuläre Herzinsuffizienz zu verbessern. Entzündliche Adhäsionsmoleküle (VCAM1, SELE) in PH-LHD-Lungengewebe erhöht.</w:t>
      </w:r>
    </w:p>
    <w:p>
      <w:r>
        <w:rPr>
          <w:b/>
          <w:sz w:val="19"/>
        </w:rPr>
        <w:t xml:space="preserve">Übertragbarkeit: </w:t>
      </w:r>
      <w:r>
        <w:rPr>
          <w:sz w:val="19"/>
        </w:rPr>
        <w:t>Grundlagenarbeit mit klarem klinischem Weg (CCR2-Antagonisten als therapeutisches Ziel) an deutschen kardiologischen und pneumologischen Zentren relevant.</w:t>
      </w:r>
    </w:p>
    <w:p>
      <w:r>
        <w:rPr>
          <w:color w:val="5A7D3A"/>
          <w:sz w:val="18"/>
        </w:rPr>
        <w:t>https://pubmed.ncbi.nlm.nih.gov/42929140/</w:t>
      </w:r>
    </w:p>
    <w:p>
      <w:pPr>
        <w:pStyle w:val="Heading1"/>
      </w:pPr>
      <w:r>
        <w:t>Aufgenommen am 27.10.2026</w:t>
      </w:r>
    </w:p>
    <w:p>
      <w:pPr>
        <w:pStyle w:val="Heading2"/>
      </w:pPr>
      <w:r>
        <w:t>Pulmonale Hypertonie nach Mitral-TEER: Normalisierung senkt Risiko, Persistenz erhöht es deutlich</w:t>
      </w:r>
    </w:p>
    <w:p>
      <w:r>
        <w:rPr>
          <w:i/>
          <w:color w:val="666666"/>
          <w:sz w:val="18"/>
        </w:rPr>
        <w:t>Miyamoto J et al.  ·  JACC Cardiovasc Interv  ·  26.10.2026  ·  PMID 42933915</w:t>
      </w:r>
    </w:p>
    <w:p>
      <w:r>
        <w:t>In 3.484 Patienten mit schwerer Mitralinsuffizienz wurde untersucht, wie sich periprozedural gemessene Veränderungen der pulmonalen Hypertonie nach transkatheter Mitralklappenreparatur auf Sterblichkeit und Herzinsuffizienz-Hospitalisierungen auswirken.</w:t>
      </w:r>
    </w:p>
    <w:p>
      <w:r>
        <w:rPr>
          <w:b/>
        </w:rPr>
        <w:t xml:space="preserve">Ergebnis: </w:t>
      </w:r>
      <w:r>
        <w:t>Nach 2 Jahren betrug die Inzidenz kardiovaskulärer Tod oder HF-Hospitalisierung bei Patienten ohne PH 17,6%, bei normalisierter PH 18,1%, bei neu aufgetretener PH 27,2% und bei persistierender PH 27,6% (p&lt;0,001). Normalisierte PH zeigte vergleichbare Outcomes wie keine PH (adj. HR 0,98; 95%-KI 0,78-1,24). Residuale und neu aufgetretene PH waren unabhängig mit schlechteren Ergebnissen assoziiert (HR 1,37 bzw. 1,46).</w:t>
      </w:r>
    </w:p>
    <w:p>
      <w:r>
        <w:rPr>
          <w:b/>
          <w:sz w:val="19"/>
        </w:rPr>
        <w:t xml:space="preserve">Übertragbarkeit: </w:t>
      </w:r>
      <w:r>
        <w:rPr>
          <w:sz w:val="19"/>
        </w:rPr>
        <w:t>Japan, OCEAN-Mitral-Registry mit vergleichbarem Gesundheitssystem und Dokumentationsstandard.</w:t>
      </w:r>
    </w:p>
    <w:p>
      <w:r>
        <w:rPr>
          <w:color w:val="5A7D3A"/>
          <w:sz w:val="18"/>
        </w:rPr>
        <w:t>https://pubmed.ncbi.nlm.nih.gov/42933915/</w:t>
      </w:r>
    </w:p>
    <w:p>
      <w:pPr>
        <w:pStyle w:val="Heading2"/>
      </w:pPr>
      <w:r>
        <w:t>Laser-basierte intravaskuläre Lithotripsie bei Koronarkalk: 93,7% Erfolgsrate, MACE 6,7%</w:t>
      </w:r>
    </w:p>
    <w:p>
      <w:r>
        <w:rPr>
          <w:i/>
          <w:color w:val="666666"/>
          <w:sz w:val="18"/>
        </w:rPr>
        <w:t>McEntegart M et al.  ·  JACC Cardiovasc Interv  ·  26.10.2026  ·  PMID 42933913</w:t>
      </w:r>
    </w:p>
    <w:p>
      <w:r>
        <w:t>420 Patienten mit schwer verkalkten de-novo-Koronarlasionen wurden mit einem neuen Quad-Emitter-IVL-System behandelt; primäre Endpunkte waren 30-Tage-Freiheit von MACE (Sicherheit) und Prozedurserfolg (Stentimplantation mit &lt;50% residualer Stenose).</w:t>
      </w:r>
    </w:p>
    <w:p>
      <w:r>
        <w:rPr>
          <w:b/>
        </w:rPr>
        <w:t xml:space="preserve">Ergebnis: </w:t>
      </w:r>
      <w:r>
        <w:t>30-Tage-MACE-Freiheit 93,3% (95%-KI untere Grenze 90,8%, überschreitet Performance-Ziel von 86,2%; p&lt;0,0001). Prozedurserfolg 93,7% (95%-KI untere Grenze 91,3%, überschreitet Ziel von 85,8%; p&lt;0,0001). OCT bestätigte Kalkfrakturen in 67% der Läsionen; mediane Stent-Expansion 94,2% ± 19,4% an Maximalverkalkung.</w:t>
      </w:r>
    </w:p>
    <w:p>
      <w:r>
        <w:rPr>
          <w:b/>
          <w:sz w:val="19"/>
        </w:rPr>
        <w:t xml:space="preserve">Übertragbarkeit: </w:t>
      </w:r>
      <w:r>
        <w:rPr>
          <w:sz w:val="19"/>
        </w:rPr>
        <w:t>Internationale multizentrische Studie, Gerätetechnik übertragbar, Verfahren in Deutschland noch nicht routinemäßig verfügbar.</w:t>
      </w:r>
    </w:p>
    <w:p>
      <w:r>
        <w:rPr>
          <w:color w:val="5A7D3A"/>
          <w:sz w:val="18"/>
        </w:rPr>
        <w:t>https://pubmed.ncbi.nlm.nih.gov/42933913/</w:t>
      </w:r>
    </w:p>
    <w:p>
      <w:pPr>
        <w:pStyle w:val="Heading2"/>
      </w:pPr>
      <w:r>
        <w:t>TTR-Amyloidose: Therapiebenefit hängt vom Erkrankungsstadium ab – frühe Intervention günstiger</w:t>
      </w:r>
    </w:p>
    <w:p>
      <w:r>
        <w:rPr>
          <w:i/>
          <w:color w:val="666666"/>
          <w:sz w:val="18"/>
        </w:rPr>
        <w:t>Nabeshima Y et al.  ·  Open Heart  ·  26.10.2026  ·  PMID 42933877</w:t>
      </w:r>
    </w:p>
    <w:p>
      <w:r>
        <w:t>Retrospektive Analyse zur zeitabhängigen Effektivität von Therapien (Stabilisatoren, Antisense-Oligonukleotide) bei Transthyretin-Amyloid-Kardiomyopathie in Abhängigkeit vom Erkrankungsstadium bei Therapiebeginn.</w:t>
      </w:r>
    </w:p>
    <w:p>
      <w:r>
        <w:rPr>
          <w:b/>
        </w:rPr>
        <w:t xml:space="preserve">Ergebnis: </w:t>
      </w:r>
      <w:r>
        <w:t>Der relative und absolute Therapiebenefit war stadiumabhängig: Frühes Stadium zeigte größeren Nutzen als späte Stadien; frühe Intervention führte zu besseren funktionellen Outcomes und reduzierter Progression. Quantitativ berichtete die Studie, dass Patienten im frühen Stadium eine höhere Wahrscheinlichkeit für funktionelle Verbesserung hatten als jene mit fortgeschrittener Erkrankung.</w:t>
      </w:r>
    </w:p>
    <w:p>
      <w:r>
        <w:rPr>
          <w:b/>
          <w:sz w:val="19"/>
        </w:rPr>
        <w:t xml:space="preserve">Übertragbarkeit: </w:t>
      </w:r>
      <w:r>
        <w:rPr>
          <w:sz w:val="19"/>
        </w:rPr>
        <w:t>Japan, vergleichbare Epidemiologie und Versorgungsstruktur; unterstreicht Bedeutung frühzeitiger Diagnostik in Deutschland.</w:t>
      </w:r>
    </w:p>
    <w:p>
      <w:r>
        <w:rPr>
          <w:color w:val="5A7D3A"/>
          <w:sz w:val="18"/>
        </w:rPr>
        <w:t>https://pubmed.ncbi.nlm.nih.gov/42933877/</w:t>
      </w:r>
    </w:p>
    <w:p>
      <w:pPr>
        <w:pStyle w:val="Heading2"/>
      </w:pPr>
      <w:r>
        <w:t>Activin-A-Blockade bei HFpEF mit pulmonaler Hypertonie: Sotatercept senkt Wedge-Druck und LA-Volumen</w:t>
      </w:r>
    </w:p>
    <w:p>
      <w:r>
        <w:rPr>
          <w:i/>
          <w:color w:val="666666"/>
          <w:sz w:val="18"/>
        </w:rPr>
        <w:t>Packer M et al.  ·  Circulation  ·  27.10.2026  ·  PMID 42932419</w:t>
      </w:r>
    </w:p>
    <w:p>
      <w:r>
        <w:t>Mechanistische Analyse, wie Activin-A-Signaling über epicardiales Fettgewebe bei HFpEF mit kombiniert postcapillärer und precapillärer pulmonaler Hypertonie (CpcPH) wirkt und wie der Activin-Type-II-Rezeptor-Ligand-Trap Sotatercept diese Pathologie beeinflusst.</w:t>
      </w:r>
    </w:p>
    <w:p>
      <w:r>
        <w:rPr>
          <w:b/>
        </w:rPr>
        <w:t xml:space="preserve">Ergebnis: </w:t>
      </w:r>
      <w:r>
        <w:t>Die CADENCE-Studie zeigte, dass Sotatercept bei CpcPH-HFpEF sowohl pulmonalarterielle Verschlussdruck als auch LA-Volumen-Index senkte – Effekte, die nicht allein durch Reduktion des pulmonalvaskulären Widerstands erklärbar sind. Experimentelle Daten bestätigen, dass Activin-A-Blockade LA- und Lungenvenenfibrose reduziert und venöse Remodellierung attenuiert.</w:t>
      </w:r>
    </w:p>
    <w:p>
      <w:r>
        <w:rPr>
          <w:b/>
          <w:sz w:val="19"/>
        </w:rPr>
        <w:t xml:space="preserve">Übertragbarkeit: </w:t>
      </w:r>
      <w:r>
        <w:rPr>
          <w:sz w:val="19"/>
        </w:rPr>
        <w:t>Praxisrelevante Grundlagensynthese für Phase-III-Outcomes-Studie, Mechanismus und klinischer Nutzen beschrieben.</w:t>
      </w:r>
    </w:p>
    <w:p>
      <w:r>
        <w:rPr>
          <w:color w:val="5A7D3A"/>
          <w:sz w:val="18"/>
        </w:rPr>
        <w:t>https://pubmed.ncbi.nlm.nih.gov/42932419/</w:t>
      </w:r>
    </w:p>
    <w:p>
      <w:pPr>
        <w:pStyle w:val="Heading2"/>
      </w:pPr>
      <w:r>
        <w:t>Nichtobstruktive HCM: Kardiale Myosin-Inhibitoren zeigen Struktureffekte, SGLT2i Funktionsbesserung</w:t>
      </w:r>
    </w:p>
    <w:p>
      <w:r>
        <w:rPr>
          <w:i/>
          <w:color w:val="666666"/>
          <w:sz w:val="18"/>
        </w:rPr>
        <w:t>Patel S et al.  ·  J Am Heart Assoc  ·  23.10.2026  ·  PMID 42924841</w:t>
      </w:r>
    </w:p>
    <w:p>
      <w:r>
        <w:t>Systematischer Review von 29 klinischen Studien (9 Wirkstoffklassen) zu pharmakologischen Therapien bei nichtobstruktiver HCM: Kardiale Myosin-Inhibitoren, metabolische Modulatoren, ARB, ARNI, MRA, SGLT2i, Beta-Blocker, Ca-Blocker und andere.</w:t>
      </w:r>
    </w:p>
    <w:p>
      <w:r>
        <w:rPr>
          <w:b/>
        </w:rPr>
        <w:t xml:space="preserve">Ergebnis: </w:t>
      </w:r>
      <w:r>
        <w:t>Kardiale Myosin-Inhibitoren reduzierten LV-Hypertrophie und verbesserten diastolische Funktion mit markanten Biomarker-Reduktionen, aber variable Verbesserung der Belastungskapazität. SGLT2-Inhibition zeigte konsistente Verbesserungen von diastolischer Funktion, Vorhofumbau, Biomarkern und funktionellem Status bei symptomatischer nichtobstruktiver HCM mit Diabetes. Ninerafaxstat verbesserte Ventilationseffizienz und Lebensqualität bei höherem Symptomenlast.</w:t>
      </w:r>
    </w:p>
    <w:p>
      <w:r>
        <w:rPr>
          <w:b/>
          <w:sz w:val="19"/>
        </w:rPr>
        <w:t xml:space="preserve">Übertragbarkeit: </w:t>
      </w:r>
      <w:r>
        <w:rPr>
          <w:sz w:val="19"/>
        </w:rPr>
        <w:t>USA und multizentrisch; Mechanismus- und Stagefestigkeit untersucht, Therapiereaktion variabel.</w:t>
      </w:r>
    </w:p>
    <w:p>
      <w:r>
        <w:rPr>
          <w:color w:val="5A7D3A"/>
          <w:sz w:val="18"/>
        </w:rPr>
        <w:t>https://pubmed.ncbi.nlm.nih.gov/42924841/</w:t>
      </w:r>
    </w:p>
    <w:p>
      <w:pPr>
        <w:pStyle w:val="Heading2"/>
      </w:pPr>
      <w:r>
        <w:t>KI bei Herzinfarkt-Diagnostik: AUC 0,97 für AMI, 0,96 für STEMI, 0,97 für NSTEMI</w:t>
      </w:r>
    </w:p>
    <w:p>
      <w:r>
        <w:rPr>
          <w:i/>
          <w:color w:val="666666"/>
          <w:sz w:val="18"/>
        </w:rPr>
        <w:t>Giacobbe F et al.  ·  Cardiovasc Res  ·  23.10.2026  ·  PMID 42922432</w:t>
      </w:r>
    </w:p>
    <w:p>
      <w:r>
        <w:t>Systematischer Review und Metaanalyse von 24 Studien (27 KI-Algorithmen, 166.052 Patienten) zur diagnostischen Genauigkeit von Machine-Learning- und Deep-Learning-Modellen für akuten Myokardinfarkt basierend auf EKG und/oder Troponin.</w:t>
      </w:r>
    </w:p>
    <w:p>
      <w:r>
        <w:rPr>
          <w:b/>
        </w:rPr>
        <w:t xml:space="preserve">Ergebnis: </w:t>
      </w:r>
      <w:r>
        <w:t>KI-Algorithmen erreichten für AMI-Diagnose AUC 0,97 (Sensitivität 0,93, Spezifität 0,92). STEMI-Diagnose: AUC 0,96 (Sensitivität 0,91, Spezifität 0,94). NSTEMI: AUC 0,97 (Sensitivität 0,95, Spezifität 0,90). Keine signifikante Differenz zwischen KI-Typen. EKG-basierte Modelle waren weniger sensitiv, Troponin-basierte weniger spezifisch als kombinierte Ansätze.</w:t>
      </w:r>
    </w:p>
    <w:p>
      <w:r>
        <w:rPr>
          <w:b/>
          <w:sz w:val="19"/>
        </w:rPr>
        <w:t xml:space="preserve">Übertragbarkeit: </w:t>
      </w:r>
      <w:r>
        <w:rPr>
          <w:sz w:val="19"/>
        </w:rPr>
        <w:t>Multizentrisch europäisch-international; Benchmarking gegen ESC 0/1-h-Algorithmus dokumentiert.</w:t>
      </w:r>
    </w:p>
    <w:p>
      <w:r>
        <w:rPr>
          <w:color w:val="5A7D3A"/>
          <w:sz w:val="18"/>
        </w:rPr>
        <w:t>https://pubmed.ncbi.nlm.nih.gov/42922432/</w:t>
      </w:r>
    </w:p>
    <w:p>
      <w:pPr>
        <w:pStyle w:val="Heading2"/>
      </w:pPr>
      <w:r>
        <w:t>FIB-4-Index vor Herztransplantation: Mortalitätsvorhersage besser als klassische Risikofaktoren</w:t>
      </w:r>
    </w:p>
    <w:p>
      <w:r>
        <w:rPr>
          <w:i/>
          <w:color w:val="666666"/>
          <w:sz w:val="18"/>
        </w:rPr>
        <w:t>Lai J et al.  ·  ESC Heart Fail  ·  27.08.2026  ·  PMID 42921753</w:t>
      </w:r>
    </w:p>
    <w:p>
      <w:r>
        <w:t>Retrospektive Kohortenstudie mit 791 Patienten zur prognostischen Aussagekraft des präoperativen FIB-4-Index und seiner dynamischen Veränderungen vor orthotoper Herztransplantation auf Sterblichkeit im Follow-up bis Juni 2025.</w:t>
      </w:r>
    </w:p>
    <w:p>
      <w:r>
        <w:rPr>
          <w:b/>
        </w:rPr>
        <w:t xml:space="preserve">Ergebnis: </w:t>
      </w:r>
      <w:r>
        <w:t>Bei medianer Nachverfolgung von 28,8 Monaten starben 218 Patienten (27,6%). FIB-4 zeigte nicht-lineare Assoziation mit Mortalität (Inflexionspunkt 2,03) und war unabhängiger Prädiktor (HR pro Unit-Anstieg 1,04; 95%-KI 1,02–1,07; p&lt;0,001). Im Random-Survival-Forest-Modell war FIB-4 die wichtigste prognostische Variable (Variable Importance 0,068), überlegen gegenüber Donor- und chirurgischen Faktoren. Präoperative FIB-4-Verbesserung bei Hochrisikopatienten assoziiert mit signifikant niedrigerer Mortalität (adj. HR 0,49; 95%-KI 0,29–0,82; p=0,007).</w:t>
      </w:r>
    </w:p>
    <w:p>
      <w:r>
        <w:rPr>
          <w:b/>
          <w:sz w:val="19"/>
        </w:rPr>
        <w:t xml:space="preserve">Übertragbarkeit: </w:t>
      </w:r>
      <w:r>
        <w:rPr>
          <w:sz w:val="19"/>
        </w:rPr>
        <w:t>China, Herztransplantationszentrum; Konzept übertragbar auf deutsche HTx-Zentren.</w:t>
      </w:r>
    </w:p>
    <w:p>
      <w:r>
        <w:rPr>
          <w:color w:val="5A7D3A"/>
          <w:sz w:val="18"/>
        </w:rPr>
        <w:t>https://pubmed.ncbi.nlm.nih.gov/42921753/</w:t>
      </w:r>
    </w:p>
    <w:p>
      <w:pPr>
        <w:pStyle w:val="Heading1"/>
      </w:pPr>
      <w:r>
        <w:t>Aufgenommen am 26.10.2026</w:t>
      </w:r>
    </w:p>
    <w:p>
      <w:pPr>
        <w:pStyle w:val="Heading2"/>
      </w:pPr>
      <w:r>
        <w:t>Gestaffelte Revaskularisierung bessere Strategie für ST-Infarkt über 70 Jahren</w:t>
      </w:r>
    </w:p>
    <w:p>
      <w:r>
        <w:rPr>
          <w:i/>
          <w:color w:val="666666"/>
          <w:sz w:val="18"/>
        </w:rPr>
        <w:t>Cho KH et al.  ·  JACC Cardiovasc Interv  ·  22.10.2026  ·  PMID 42925297</w:t>
      </w:r>
    </w:p>
    <w:p>
      <w:r>
        <w:t>Sekundäranalyse der OPTION-STEMI-Studie mit 994 Patienten: Vergleich von sofortiger versus gestaffelter Revaskularisierung im Krankenhaus bei älteren Patienten mit ST-Hebungsinfarkt und Multigefäßerkrankung.</w:t>
      </w:r>
    </w:p>
    <w:p>
      <w:r>
        <w:rPr>
          <w:b/>
        </w:rPr>
        <w:t xml:space="preserve">Ergebnis: </w:t>
      </w:r>
      <w:r>
        <w:t>Bei Patienten ≥70 Jahren: sofortige Revaskularisierung führte zu höherer Rate des primären Endpunkts (all-cause death, nonfatal MI, oder ungeplante Revaskularisierung) mit HR 1,68 (95%-KI 1,06–2,69; p=0,029) gegenüber gestaffelter Strategie. Bei Patienten &lt;70 Jahren kein Unterschied (HR 0,80; p=0,470). Diese Interaktion deutet darauf hin, dass ältere Patienten von gestaffelter Revaskularisierung profitieren.</w:t>
      </w:r>
    </w:p>
    <w:p>
      <w:r>
        <w:rPr>
          <w:b/>
          <w:sz w:val="19"/>
        </w:rPr>
        <w:t xml:space="preserve">Übertragbarkeit: </w:t>
      </w:r>
      <w:r>
        <w:rPr>
          <w:sz w:val="19"/>
        </w:rPr>
        <w:t>Südkorea, vergleichbar mit europäischen Leitlinien zu STEMI-Management</w:t>
      </w:r>
    </w:p>
    <w:p>
      <w:r>
        <w:rPr>
          <w:color w:val="5A7D3A"/>
          <w:sz w:val="18"/>
        </w:rPr>
        <w:t>https://pubmed.ncbi.nlm.nih.gov/42925297/</w:t>
      </w:r>
    </w:p>
    <w:p>
      <w:pPr>
        <w:pStyle w:val="Heading2"/>
      </w:pPr>
      <w:r>
        <w:t>Pulsed-Field-Ablation: Same-Day-Discharge möglich mit guter Sicherheit</w:t>
      </w:r>
    </w:p>
    <w:p>
      <w:r>
        <w:rPr>
          <w:i/>
          <w:color w:val="666666"/>
          <w:sz w:val="18"/>
        </w:rPr>
        <w:t>Ha FJ et al.  ·  Europace  ·  23.10.2026  ·  PMID 42921970</w:t>
      </w:r>
    </w:p>
    <w:p>
      <w:r>
        <w:t>Multizentrische Analyse von 240 Patienten mit Vorhofflimmern, die nach Pulsed-Field-Ablation (PFA) am selben Tag entlassen wurden; Erfassung von Sicherheit, Effektivität und Kostenaspekten in der SENTINEL Registry.</w:t>
      </w:r>
    </w:p>
    <w:p>
      <w:r>
        <w:rPr>
          <w:b/>
        </w:rPr>
        <w:t xml:space="preserve">Ergebnis: </w:t>
      </w:r>
      <w:r>
        <w:t>Same-Day-Discharge nach PFA war durchführbar mit niedriger Komplikationsrate. Verfahren zeigte gutes Sicherheitsprofil und ermöglichte Kosteneffizienz durch Einsparung von stationären Übernachtungen im Vergleich zu konventioneller thermischer Ablation.</w:t>
      </w:r>
    </w:p>
    <w:p>
      <w:r>
        <w:rPr>
          <w:b/>
          <w:sz w:val="19"/>
        </w:rPr>
        <w:t xml:space="preserve">Übertragbarkeit: </w:t>
      </w:r>
      <w:r>
        <w:rPr>
          <w:sz w:val="19"/>
        </w:rPr>
        <w:t>Australien, Neuseeland, mit europäischen Zentren beteiligt; übertragbar auf deutsche Struktur für Rhythmologie</w:t>
      </w:r>
    </w:p>
    <w:p>
      <w:r>
        <w:rPr>
          <w:color w:val="5A7D3A"/>
          <w:sz w:val="18"/>
        </w:rPr>
        <w:t>https://pubmed.ncbi.nlm.nih.gov/42921970/</w:t>
      </w:r>
    </w:p>
    <w:p>
      <w:pPr>
        <w:pStyle w:val="Heading2"/>
      </w:pPr>
      <w:r>
        <w:t>Telemedizin-gestützte AF-Versorgung auf dem Land: Trend zu weniger Ereignissen</w:t>
      </w:r>
    </w:p>
    <w:p>
      <w:r>
        <w:rPr>
          <w:i/>
          <w:color w:val="666666"/>
          <w:sz w:val="18"/>
        </w:rPr>
        <w:t>Liu W et al.  ·  Heart Rhythm  ·  22.10.2026  ·  PMID 42913979</w:t>
      </w:r>
    </w:p>
    <w:p>
      <w:r>
        <w:t>Sekundäranalyse der MIRACLE-AF-Studie mit 1039 älteren Patienten auf dem Land (≥65 Jahre, durchschn. 75,8 J.) über 36 Monate: Effekt eines dorfarztzentrierten Telemedizin-basierten integrierten Versorgungsmodells versus Standard-Nachsorge auf rezidivierende kardiovaskuläre Ereignisse bei Vorhofflimmern.</w:t>
      </w:r>
    </w:p>
    <w:p>
      <w:r>
        <w:rPr>
          <w:b/>
        </w:rPr>
        <w:t xml:space="preserve">Ergebnis: </w:t>
      </w:r>
      <w:r>
        <w:t>Intervention: 118 Ereignisse in 82 Patienten (15,65 %) versus Kontrolle 173 Ereignisse in 122 Patienten (23,69 %). Ereignisrate 6,75 versus 9,11 pro 100 Patientenjahre. HR 0,76 (95%-KI 0,583–1,004; p=0,053) – trend zu Vorteil, aber statistische Signifikanz nicht erreicht. Konsistente Favorisierung der Intervention über alle Ereignistypen.</w:t>
      </w:r>
    </w:p>
    <w:p>
      <w:r>
        <w:rPr>
          <w:b/>
          <w:sz w:val="19"/>
        </w:rPr>
        <w:t xml:space="preserve">Übertragbarkeit: </w:t>
      </w:r>
      <w:r>
        <w:rPr>
          <w:sz w:val="19"/>
        </w:rPr>
        <w:t>China, ländliche Versorgungsstruktur; Modell auf deutsche Land- und Hausarztpraxen mit Telemedizin übertragbar</w:t>
      </w:r>
    </w:p>
    <w:p>
      <w:r>
        <w:rPr>
          <w:color w:val="5A7D3A"/>
          <w:sz w:val="18"/>
        </w:rPr>
        <w:t>https://pubmed.ncbi.nlm.nih.gov/42913979/</w:t>
      </w:r>
    </w:p>
    <w:p>
      <w:pPr>
        <w:pStyle w:val="Heading2"/>
      </w:pPr>
      <w:r>
        <w:t>Trainingsblutdruck zur Fitness normalisiert Prognose bei Verdacht auf KHK</w:t>
      </w:r>
    </w:p>
    <w:p>
      <w:r>
        <w:rPr>
          <w:i/>
          <w:color w:val="666666"/>
          <w:sz w:val="18"/>
        </w:rPr>
        <w:t>Takafuji M et al.  ·  Open Heart  ·  21.10.2026  ·  PMID 42906952</w:t>
      </w:r>
    </w:p>
    <w:p>
      <w:r>
        <w:t>Prospektive Analyse von 530 Patienten aus der CE-MARC-Studie mit Belastungstestung, invasiver Koronarangiographie und kardiovaskulärem Magnetresonanzimaging; Beziehung zwischen systolischem Blutdruck während Belastung indexiert auf Fitness (SBP/METpeak) und koronarer Erkrankung.</w:t>
      </w:r>
    </w:p>
    <w:p>
      <w:r>
        <w:rPr>
          <w:b/>
        </w:rPr>
        <w:t xml:space="preserve">Ergebnis: </w:t>
      </w:r>
      <w:r>
        <w:t>Ein SBP/METpeak ≥18 mm Hg/METs war bei 58,5 % der Patienten vorhanden und war mit myokardialer Ischämie, Narbe und MACE assoziiert (adjustierte HR 1,02 pro Einheit; 95%-KI 1,00–1,03; p=0,012). Der Effekt wurde hauptsächlich durch geringere Belastungskapazität anstelle von erhöhtem Spitzenblutdruck getrieben.</w:t>
      </w:r>
    </w:p>
    <w:p>
      <w:r>
        <w:rPr>
          <w:b/>
          <w:sz w:val="19"/>
        </w:rPr>
        <w:t xml:space="preserve">Übertragbarkeit: </w:t>
      </w:r>
      <w:r>
        <w:rPr>
          <w:sz w:val="19"/>
        </w:rPr>
        <w:t>Großbritannien, deutsche Leitlinien unterscheiden Belastungsblutdruck nach Fitness; Marker erfordert externe Validierung</w:t>
      </w:r>
    </w:p>
    <w:p>
      <w:r>
        <w:rPr>
          <w:color w:val="5A7D3A"/>
          <w:sz w:val="18"/>
        </w:rPr>
        <w:t>https://pubmed.ncbi.nlm.nih.gov/42906952/</w:t>
      </w:r>
    </w:p>
    <w:p>
      <w:pPr>
        <w:pStyle w:val="Heading2"/>
      </w:pPr>
      <w:r>
        <w:t>MASLD bei Herzinsuffizienz: jung, weiblich, bessere Prognose</w:t>
      </w:r>
    </w:p>
    <w:p>
      <w:r>
        <w:rPr>
          <w:i/>
          <w:color w:val="666666"/>
          <w:sz w:val="18"/>
        </w:rPr>
        <w:t>Chew NW et al.  ·  Open Heart  ·  21.10.2026  ·  PMID 42906951</w:t>
      </w:r>
    </w:p>
    <w:p>
      <w:r>
        <w:t>Registerstudie (ASIAN-HF, CDARS, BIOSTAT-CHF) mit insgesamt über 2000 Patienten zur Prävalenz und klinischen Korrelaten metabolischer Funktionsstörung-assoziierter steatotischer Lebererkrankung (MASLD) in der Herzinsuffizienz-Population.</w:t>
      </w:r>
    </w:p>
    <w:p>
      <w:r>
        <w:rPr>
          <w:b/>
        </w:rPr>
        <w:t xml:space="preserve">Ergebnis: </w:t>
      </w:r>
      <w:r>
        <w:t>In ASIAN-HF: 34,4 % (927/2698) der HF-Patienten hatten MASLD. MASLD-Patienten waren jünger, häufiger weiblich, häufiger mit HFpEF. All-cause mortality war niedriger mit MASLD (7,1 vs. 11,7 %; p=0,001; adjustierte HR 0,58, 95%-KI 0,39–0,86). Befund blieb in CDARS bestätigt.</w:t>
      </w:r>
    </w:p>
    <w:p>
      <w:r>
        <w:rPr>
          <w:b/>
          <w:sz w:val="19"/>
        </w:rPr>
        <w:t xml:space="preserve">Übertragbarkeit: </w:t>
      </w:r>
      <w:r>
        <w:rPr>
          <w:sz w:val="19"/>
        </w:rPr>
        <w:t>Asien, Hongkong, Europa; metabolisches Phänotypisieren wird relevant für HF-Phänotypen, auch in Deutschland zutreffend</w:t>
      </w:r>
    </w:p>
    <w:p>
      <w:r>
        <w:rPr>
          <w:color w:val="5A7D3A"/>
          <w:sz w:val="18"/>
        </w:rPr>
        <w:t>https://pubmed.ncbi.nlm.nih.gov/42906951/</w:t>
      </w:r>
    </w:p>
    <w:p>
      <w:pPr>
        <w:pStyle w:val="Heading1"/>
      </w:pPr>
      <w:r>
        <w:t>Aufgenommen am 25.10.2026</w:t>
      </w:r>
    </w:p>
    <w:p>
      <w:pPr>
        <w:pStyle w:val="Heading2"/>
      </w:pPr>
      <w:r>
        <w:t>Long COVID erhöht Bluthochdruck-Risiko um 14 Prozent</w:t>
      </w:r>
    </w:p>
    <w:p>
      <w:r>
        <w:rPr>
          <w:i/>
          <w:color w:val="666666"/>
          <w:sz w:val="18"/>
        </w:rPr>
        <w:t>Lindberg P et al.  ·  J Am Heart Assoc  ·  20.10.2026  ·  PMID 42857992</w:t>
      </w:r>
    </w:p>
    <w:p>
      <w:r>
        <w:t>Schwedische Bevölkerungskohortenstudie (1,22 Mio. Personen ohne Hypertonie) zu Langzeitfolgen nach SARS-CoV-2-Infektion: Long-COVID-Patienten entwickelten innerhalb von 4 Jahren häufiger neu auftretende Hypertonie als nicht-exponierte Personen.</w:t>
      </w:r>
    </w:p>
    <w:p>
      <w:r>
        <w:rPr>
          <w:b/>
        </w:rPr>
        <w:t xml:space="preserve">Ergebnis: </w:t>
      </w:r>
      <w:r>
        <w:t>Long-COVID-Diagnose erhöhte das Hypertonie-Risiko um 14 % gesamtkohort (Hazard Ratio 1,14; 95%-KI 1,09–1,20; p&lt;0,001), bei Frauen um 13 % (HR 1,13; 1,05–1,22; p=0,001) und Männern um 15 % (HR 1,15; 1,05–1,27; p=0,002). Das Risiko stieg früh und persistierte über 36 Monate Nachbeobachtung.</w:t>
      </w:r>
    </w:p>
    <w:p>
      <w:r>
        <w:rPr>
          <w:b/>
          <w:sz w:val="19"/>
        </w:rPr>
        <w:t xml:space="preserve">Übertragbarkeit: </w:t>
      </w:r>
      <w:r>
        <w:rPr>
          <w:sz w:val="19"/>
        </w:rPr>
        <w:t>Schweden, Bevölkerungsregister mit vollständiger Erfassung; Daten übertragbar auf deutsches Sozialversicherungssystem</w:t>
      </w:r>
    </w:p>
    <w:p>
      <w:r>
        <w:rPr>
          <w:color w:val="5A7D3A"/>
          <w:sz w:val="18"/>
        </w:rPr>
        <w:t>https://pubmed.ncbi.nlm.nih.gov/42857992/</w:t>
      </w:r>
    </w:p>
    <w:p>
      <w:pPr>
        <w:pStyle w:val="Heading1"/>
      </w:pPr>
      <w:r>
        <w:t>Aufgenommen am 24.10.2026</w:t>
      </w:r>
    </w:p>
    <w:p>
      <w:pPr>
        <w:pStyle w:val="Heading2"/>
      </w:pPr>
      <w:r>
        <w:t>Pulsed-Field-Ablation bei Vorhofflimmern: 82,5 % Freiheit von Arrhythmien nach 12 Monaten</w:t>
      </w:r>
    </w:p>
    <w:p>
      <w:r>
        <w:rPr>
          <w:i/>
          <w:color w:val="666666"/>
          <w:sz w:val="18"/>
        </w:rPr>
        <w:t>Duytschaever M et al.  ·  Heart Rhythm  ·  22.10.2026  ·  PMID 42913987</w:t>
      </w:r>
    </w:p>
    <w:p>
      <w:r>
        <w:t>Prospektive Studie mit 136 Patienten zur Pulmonalen-Venen-Isolierung mittels Pulsed-Field-Ablation (PFA) mit Kontaktkraft-Sensing und 3D-Mapping.</w:t>
      </w:r>
    </w:p>
    <w:p>
      <w:r>
        <w:rPr>
          <w:b/>
        </w:rPr>
        <w:t xml:space="preserve">Ergebnis: </w:t>
      </w:r>
      <w:r>
        <w:t>82,5 % der Patienten waren nach 12 Monaten frei von dokumentierten symptomatischen/asymptomatischen Vorhofflimmern; kardiovaskuläre Hospitalisierungen sanken um 40,9 %, Antiarrhythmika-Nutzung um 49,3 %. Ernsthaft durch Gerät/Prozedur bedingte Komplikationen traten in 2,9 % auf. Die PFA zeigte Sicherheit und Versorgungsvorteil.</w:t>
      </w:r>
    </w:p>
    <w:p>
      <w:r>
        <w:rPr>
          <w:b/>
          <w:sz w:val="19"/>
        </w:rPr>
        <w:t xml:space="preserve">Übertragbarkeit: </w:t>
      </w:r>
      <w:r>
        <w:rPr>
          <w:sz w:val="19"/>
        </w:rPr>
        <w:t>Multizentrische europäische Studie, vergleichbar mit deutschen Ablationszentren.</w:t>
      </w:r>
    </w:p>
    <w:p>
      <w:r>
        <w:rPr>
          <w:color w:val="5A7D3A"/>
          <w:sz w:val="18"/>
        </w:rPr>
        <w:t>https://pubmed.ncbi.nlm.nih.gov/42913987/</w:t>
      </w:r>
    </w:p>
    <w:p>
      <w:pPr>
        <w:pStyle w:val="Heading2"/>
      </w:pPr>
      <w:r>
        <w:t>Katheter-Ablation vs. Schein-Ablation bei Vorhofflimmern: Meta-Analyse mit 468 Patienten</w:t>
      </w:r>
    </w:p>
    <w:p>
      <w:r>
        <w:rPr>
          <w:i/>
          <w:color w:val="666666"/>
          <w:sz w:val="18"/>
        </w:rPr>
        <w:t>Kakarla S et al.  ·  Heart Rhythm  ·  22.10.2026  ·  PMID 42913986</w:t>
      </w:r>
    </w:p>
    <w:p>
      <w:r>
        <w:t>Bayesianische Metaanalyse von vier randomisierten Studien zum Vergleich von Katheter-Ablation mit Sham-Kontrolle bei symptomatischem Vorhofflimmern hinsichtlich Lebensqualität und Rezidivrate.</w:t>
      </w:r>
    </w:p>
    <w:p>
      <w:r>
        <w:rPr>
          <w:b/>
        </w:rPr>
        <w:t xml:space="preserve">Ergebnis: </w:t>
      </w:r>
      <w:r>
        <w:t>Ablation verbesserte AFEQT-Score um 13,5 Punkte (95%-Kredibilität 1,6–26,9; Wahrscheinlichkeit klinisch bedeutsam &gt;5 Punkte: 0,94). Ablation reduzierte Vorhofflimmern-Rezidive in allen Studien (gepooltes Risiko-Verhältnis 0,49, 95%-KI 0,17–0,89). Evidenzqualität moderat für Rhythmuskontrolle, niedrig für Lebensqualität.</w:t>
      </w:r>
    </w:p>
    <w:p>
      <w:r>
        <w:rPr>
          <w:b/>
          <w:sz w:val="19"/>
        </w:rPr>
        <w:t xml:space="preserve">Übertragbarkeit: </w:t>
      </w:r>
      <w:r>
        <w:rPr>
          <w:sz w:val="19"/>
        </w:rPr>
        <w:t>Internationale Metaanalyse mit europäischen Zentren; zeigt klinischen Nutzen für Leitlinien.</w:t>
      </w:r>
    </w:p>
    <w:p>
      <w:r>
        <w:rPr>
          <w:color w:val="5A7D3A"/>
          <w:sz w:val="18"/>
        </w:rPr>
        <w:t>https://pubmed.ncbi.nlm.nih.gov/42913986/</w:t>
      </w:r>
    </w:p>
    <w:p>
      <w:pPr>
        <w:pStyle w:val="Heading2"/>
      </w:pPr>
      <w:r>
        <w:t>Kardiale Rehabilitation: 750–1000 MET-min/Woche optimal für VO2-Peak-Verbesserung</w:t>
      </w:r>
    </w:p>
    <w:p>
      <w:r>
        <w:rPr>
          <w:i/>
          <w:color w:val="666666"/>
          <w:sz w:val="18"/>
        </w:rPr>
        <w:t>Zhang W et al.  ·  Eur J Prev Cardiol  ·  23.10.2026  ·  PMID 42913481</w:t>
      </w:r>
    </w:p>
    <w:p>
      <w:r>
        <w:t>Bayesianische Netzwerk-Metaanalyse von 100 RCTs mit 5.353 Patienten zur Dosis-Wirkungs-Beziehung verschiedener Trainingsmodalitäten (Intervall-Aerob, kontinuierlich, Kraft, Mind-Body) auf Sauerstoffaufnahme.</w:t>
      </w:r>
    </w:p>
    <w:p>
      <w:r>
        <w:rPr>
          <w:b/>
        </w:rPr>
        <w:t xml:space="preserve">Ergebnis: </w:t>
      </w:r>
      <w:r>
        <w:t>Dosis-Wirkungs-Kurve folgt Emax-Modell; ED50 ~80–90 MET-min/Woche; 750–1000 MET-min/Woche nähert sich maximaler Wirkung. Rangfolge: Intervall-Aerobtraining (Emax 3,50), Krafttraining (3,66), Kombination (3,49). Empfehlung: Intervall-Aerobtraining oder Kraft für gute Ausdauer, Mind-Body für begrenzte Toleranz.</w:t>
      </w:r>
    </w:p>
    <w:p>
      <w:r>
        <w:rPr>
          <w:b/>
          <w:sz w:val="19"/>
        </w:rPr>
        <w:t xml:space="preserve">Übertragbarkeit: </w:t>
      </w:r>
      <w:r>
        <w:rPr>
          <w:sz w:val="19"/>
        </w:rPr>
        <w:t>Internationale Metaanalyse, Design übertragbar auf deutsche Rehabilitationsprogramme.</w:t>
      </w:r>
    </w:p>
    <w:p>
      <w:r>
        <w:rPr>
          <w:color w:val="5A7D3A"/>
          <w:sz w:val="18"/>
        </w:rPr>
        <w:t>https://pubmed.ncbi.nlm.nih.gov/42913481/</w:t>
      </w:r>
    </w:p>
    <w:p>
      <w:pPr>
        <w:pStyle w:val="Heading2"/>
      </w:pPr>
      <w:r>
        <w:t>REBIRTH-Studie: Bromocriptin bei Peripartum-Kardiomyopathie – 200 Frauen randomisiert</w:t>
      </w:r>
    </w:p>
    <w:p>
      <w:r>
        <w:rPr>
          <w:i/>
          <w:color w:val="666666"/>
          <w:sz w:val="18"/>
        </w:rPr>
        <w:t>Wang T et al.  ·  JACC Heart Fail  ·  21.10.2026  ·  PMID 42911149</w:t>
      </w:r>
    </w:p>
    <w:p>
      <w:r>
        <w:t>Randomisierte Studie mit 200 Frauen mit Peripartum-Kardiomyopathie (LVEF ≤40 % innerhalb 5 Monate postpartal), die Bromocriptin versus Placebo zusätzlich zur Leitlinien-Therapie erhalten; Primärendpunkt LVEF bei 6 Monaten.</w:t>
      </w:r>
    </w:p>
    <w:p>
      <w:r>
        <w:rPr>
          <w:b/>
        </w:rPr>
        <w:t xml:space="preserve">Ergebnis: </w:t>
      </w:r>
      <w:r>
        <w:t>Studie noch laufend, Ergebnisse für 2027 erwartet. Sekundärendpunkte: LVEF 12 Monate, Ereignisfreiheit (Tod, Herztransplantation, LVAD), Hospitaliserungsfreiheit bis 3 Jahre. 50 Frauen in separater Stillkohorte (ausgeschlossen von Randomisierung).</w:t>
      </w:r>
    </w:p>
    <w:p>
      <w:r>
        <w:rPr>
          <w:b/>
          <w:sz w:val="19"/>
        </w:rPr>
        <w:t xml:space="preserve">Übertragbarkeit: </w:t>
      </w:r>
      <w:r>
        <w:rPr>
          <w:sz w:val="19"/>
        </w:rPr>
        <w:t>Nordamerikanische Studie in diverser Population, Therapieprinzipien auf Deutschland übertragbar.</w:t>
      </w:r>
    </w:p>
    <w:p>
      <w:r>
        <w:rPr>
          <w:color w:val="5A7D3A"/>
          <w:sz w:val="18"/>
        </w:rPr>
        <w:t>https://pubmed.ncbi.nlm.nih.gov/42911149/</w:t>
      </w:r>
    </w:p>
    <w:p>
      <w:pPr>
        <w:pStyle w:val="Heading2"/>
      </w:pPr>
      <w:r>
        <w:t>TAVI + koronare Stenose: Physiology-gesteuerte PCI reduziert MACE um 20 %</w:t>
      </w:r>
    </w:p>
    <w:p>
      <w:r>
        <w:rPr>
          <w:i/>
          <w:color w:val="666666"/>
          <w:sz w:val="18"/>
        </w:rPr>
        <w:t>Bujak K et al.  ·  EuroIntervention  ·  19.10.2026  ·  PMID 42910974</w:t>
      </w:r>
    </w:p>
    <w:p>
      <w:r>
        <w:t>Metaanalyse von 5 RCTs (N=1.644) zum Vergleich von Routine-Revaskularisierung vs. konservativer Behandlung bei koronarer Erkrankung vor/während TAVI; Netzwerk-Metaanalyse zu PCI-Strategien.</w:t>
      </w:r>
    </w:p>
    <w:p>
      <w:r>
        <w:rPr>
          <w:b/>
        </w:rPr>
        <w:t xml:space="preserve">Ergebnis: </w:t>
      </w:r>
      <w:r>
        <w:t>Routine-PCI vs. konservativ: MACE-Risiko gesenkt (RR 0,80, 95%-KI 0,65–0,98), ungeplante Revaskularisierung gesenkt (RR 0,30, 95%-KI 0,11–0,83), Major-Blutung erhöht (RR 1,57, 95%-KI 1,07–2,32). Physiology-gesteuerte PCI rangiert höchste für ischämische Outcomes.</w:t>
      </w:r>
    </w:p>
    <w:p>
      <w:r>
        <w:rPr>
          <w:b/>
          <w:sz w:val="19"/>
        </w:rPr>
        <w:t xml:space="preserve">Übertragbarkeit: </w:t>
      </w:r>
      <w:r>
        <w:rPr>
          <w:sz w:val="19"/>
        </w:rPr>
        <w:t>Europäisch-amerikanische Evidenz, Koronaranatomie und Revaskularisierungsprinzipien Deutschland-übertragbar.</w:t>
      </w:r>
    </w:p>
    <w:p>
      <w:r>
        <w:rPr>
          <w:color w:val="5A7D3A"/>
          <w:sz w:val="18"/>
        </w:rPr>
        <w:t>https://pubmed.ncbi.nlm.nih.gov/42910974/</w:t>
      </w:r>
    </w:p>
    <w:p>
      <w:pPr>
        <w:pStyle w:val="Heading2"/>
      </w:pPr>
      <w:r>
        <w:t>Frankreich: PCI-Einsatz stieg um 40 %, Bypass-Eingriffe sanken um 8 % (2014–2023)</w:t>
      </w:r>
    </w:p>
    <w:p>
      <w:r>
        <w:rPr>
          <w:i/>
          <w:color w:val="666666"/>
          <w:sz w:val="18"/>
        </w:rPr>
        <w:t>Hauguel-Moreau M et al.  ·  J Am Heart Assoc  ·  20.10.2026  ·  PMID 42885791</w:t>
      </w:r>
    </w:p>
    <w:p>
      <w:r>
        <w:t>Analyse der Französischen Nationalen Krankenhausdatenbank von 2014 bis 2023 mit 6.290.951 koronaren Interventionen bei 2.985.822 Patienten zur Darstellung zeitlicher Trends.</w:t>
      </w:r>
    </w:p>
    <w:p>
      <w:r>
        <w:rPr>
          <w:b/>
        </w:rPr>
        <w:t xml:space="preserve">Ergebnis: </w:t>
      </w:r>
      <w:r>
        <w:t>Jährliche Interventionen stiegen um 33 %; Herzkatheter +32 %, PCI +40 %, Bypass –8 %. PCI-Wachstum war elektiv (+53,5 % auf 56,9 %); Multigefäß-Erkrankung stieg von 16,7 % auf 19,0 %. Letalität nach PCI: 2,05 % (2014) → 1,58 % (2023), nach Bypass: 3,5 % → 2,9 %.</w:t>
      </w:r>
    </w:p>
    <w:p>
      <w:r>
        <w:rPr>
          <w:b/>
          <w:sz w:val="19"/>
        </w:rPr>
        <w:t xml:space="preserve">Übertragbarkeit: </w:t>
      </w:r>
      <w:r>
        <w:rPr>
          <w:sz w:val="19"/>
        </w:rPr>
        <w:t>Französische Versorgungsdaten, Sozialversicherungssystem ähnlich Deutschland.</w:t>
      </w:r>
    </w:p>
    <w:p>
      <w:r>
        <w:rPr>
          <w:color w:val="5A7D3A"/>
          <w:sz w:val="18"/>
        </w:rPr>
        <w:t>https://pubmed.ncbi.nlm.nih.gov/42885791/</w:t>
      </w:r>
    </w:p>
    <w:p>
      <w:pPr>
        <w:pStyle w:val="Heading1"/>
      </w:pPr>
      <w:r>
        <w:t>Aufgenommen am 23.10.2026</w:t>
      </w:r>
    </w:p>
    <w:p>
      <w:pPr>
        <w:pStyle w:val="Heading2"/>
      </w:pPr>
      <w:r>
        <w:t>Akute Herzinsuffizienz in der Notaufnahme: Konsens zur Diagnostik und Management</w:t>
      </w:r>
    </w:p>
    <w:p>
      <w:r>
        <w:rPr>
          <w:i/>
          <w:color w:val="666666"/>
          <w:sz w:val="18"/>
        </w:rPr>
        <w:t>Miró Ò et al.  ·  Eur Heart J  ·  22.10.2026  ·  PMID 42906949</w:t>
      </w:r>
    </w:p>
    <w:p>
      <w:r>
        <w:t>Europäische Konsensusempfehlungen zur Diagnostik, Triage und Behandlung akuter Herzinsuffizienz in Notaufnahmen und Rettungsdiensten, mit Fokus auf phenotypische Klassifikation, Biomarker, Bildgebung, Ventilation, Diuretika und frühe Therapieinitiierung.</w:t>
      </w:r>
    </w:p>
    <w:p>
      <w:r>
        <w:rPr>
          <w:b/>
        </w:rPr>
        <w:t xml:space="preserve">Ergebnis: </w:t>
      </w:r>
      <w:r>
        <w:t>Das Dokument betont die kritische Bedeutung einer schnellen phenotypischen Klassifikation in akute dekompensierte Herzinsuffizienz, akutes Lungenödem, isoliertes Rechtsherzversagen oder kardiogener Schock zur Steuerung der Frühbehandlung und Triage. Es identifiziert Wissenslücken und Forschungsprioritäten, einschließlich pragmatischer Studien zu Rettungsdienst-Interventionen und Biomarker-gestützter Therapie zur Verbesserung der Outcomes bei akuter Herzinsuffizienz.</w:t>
      </w:r>
    </w:p>
    <w:p>
      <w:r>
        <w:rPr>
          <w:b/>
          <w:sz w:val="19"/>
        </w:rPr>
        <w:t xml:space="preserve">Übertragbarkeit: </w:t>
      </w:r>
      <w:r>
        <w:rPr>
          <w:sz w:val="19"/>
        </w:rPr>
        <w:t>Europäische Konsensusarbeit, mehrere deutsche und österreichische Zentren, direkt auf europäische Notfall-Strukturen übertragbar.</w:t>
      </w:r>
    </w:p>
    <w:p>
      <w:r>
        <w:rPr>
          <w:color w:val="5A7D3A"/>
          <w:sz w:val="18"/>
        </w:rPr>
        <w:t>https://pubmed.ncbi.nlm.nih.gov/42906949/</w:t>
      </w:r>
    </w:p>
    <w:p>
      <w:pPr>
        <w:pStyle w:val="Heading2"/>
      </w:pPr>
      <w:r>
        <w:t>Digitale Gesundheitsinterventionen bei KHK: Weniger kardiovaskuläre Ereignisse</w:t>
      </w:r>
    </w:p>
    <w:p>
      <w:r>
        <w:rPr>
          <w:i/>
          <w:color w:val="666666"/>
          <w:sz w:val="18"/>
        </w:rPr>
        <w:t>Chan A et al.  ·  Eur J Prev Cardiol  ·  22.10.2026  ·  PMID 42906925</w:t>
      </w:r>
    </w:p>
    <w:p>
      <w:r>
        <w:t>Systematischer Review und Metaanalyse von 72 Studien (45 in Meta-Analyse, 23.111 Patienten) zur Wirksamkeit digitaler Gesundheitsinterventionen zur Versorgungsintegration bei Koronarer Herzkrankheit im Vergleich zu üblicher Behandlung.</w:t>
      </w:r>
    </w:p>
    <w:p>
      <w:r>
        <w:rPr>
          <w:b/>
        </w:rPr>
        <w:t xml:space="preserve">Ergebnis: </w:t>
      </w:r>
      <w:r>
        <w:t>Digitale Interventionen mit Versorgungsintegration reduzieren kardiovaskuläre Ereignisse (OR 0,74 [0,59–0,92], p=0,02), zeigen aber keinen signifikanten Effekt auf Gesamtsterblichkeit oder Readmissionen. Aktuelle Evidenz konzentriert sich auf patientenzentrierte Integration; systemic-level Integration bleibt untersucht.</w:t>
      </w:r>
    </w:p>
    <w:p>
      <w:r>
        <w:rPr>
          <w:b/>
          <w:sz w:val="19"/>
        </w:rPr>
        <w:t xml:space="preserve">Übertragbarkeit: </w:t>
      </w:r>
      <w:r>
        <w:rPr>
          <w:sz w:val="19"/>
        </w:rPr>
        <w:t>Internationale Evidenz, Übertragung auf deutsches ambulantes Versorgungssystem mit strukturierten Herzprogrammen möglich.</w:t>
      </w:r>
    </w:p>
    <w:p>
      <w:r>
        <w:rPr>
          <w:color w:val="5A7D3A"/>
          <w:sz w:val="18"/>
        </w:rPr>
        <w:t>https://pubmed.ncbi.nlm.nih.gov/42906925/</w:t>
      </w:r>
    </w:p>
    <w:p>
      <w:pPr>
        <w:pStyle w:val="Heading2"/>
      </w:pPr>
      <w:r>
        <w:t>Schrittmacher-induzierte Kardiomyopathie: RVOT-Position reduziert Risiko</w:t>
      </w:r>
    </w:p>
    <w:p>
      <w:r>
        <w:rPr>
          <w:i/>
          <w:color w:val="666666"/>
          <w:sz w:val="18"/>
        </w:rPr>
        <w:t>Van Weyenbergh T et al.  ·  Heart Rhythm  ·  21.10.2026  ·  PMID 42906715</w:t>
      </w:r>
    </w:p>
    <w:p>
      <w:r>
        <w:t>Retrospektive Single-Center-Studie an 401 Patienten mit leadless-Ventrikelschrittmachern (Micra AV n=145) zur Erfassung der Häufigkeit therapie-induzierter Kardiomyopathie und Assoziation von Implantationsort und AV-synchroner Stimulation mit Outcome.</w:t>
      </w:r>
    </w:p>
    <w:p>
      <w:r>
        <w:rPr>
          <w:b/>
        </w:rPr>
        <w:t xml:space="preserve">Ergebnis: </w:t>
      </w:r>
      <w:r>
        <w:t>Über 33,0 Monate median: Kardiomyopathie in 13,6% (4,8%/Jahr), therapie-induzierte Kardiomyopathie in 5,5% (1,9%/Jahr). RVOT-Implantation assoziiert mit niedrigerer Kardiomyopathie-Inzidenz (HR 0,48, p=0,019) und langsamerem Auswurffrraktions-Rückgang (−0,56%/Jahr vs. −1,43%/Jahr, p=0,013). Micra-AV-Geräte zeigten keinen Vorteil gegenüber VR-Geräten.</w:t>
      </w:r>
    </w:p>
    <w:p>
      <w:r>
        <w:rPr>
          <w:b/>
          <w:sz w:val="19"/>
        </w:rPr>
        <w:t xml:space="preserve">Übertragbarkeit: </w:t>
      </w:r>
      <w:r>
        <w:rPr>
          <w:sz w:val="19"/>
        </w:rPr>
        <w:t>Belgische Universitätsklinik, europäische Implantationspraxis und Langzeit-Überwachung.</w:t>
      </w:r>
    </w:p>
    <w:p>
      <w:r>
        <w:rPr>
          <w:color w:val="5A7D3A"/>
          <w:sz w:val="18"/>
        </w:rPr>
        <w:t>https://pubmed.ncbi.nlm.nih.gov/42906715/</w:t>
      </w:r>
    </w:p>
    <w:p>
      <w:pPr>
        <w:pStyle w:val="Heading2"/>
      </w:pPr>
      <w:r>
        <w:t>Pulsfeldablation bei Vorhofflimmern: 75–85 % Arrhythmiefreiheit paroxysmal</w:t>
      </w:r>
    </w:p>
    <w:p>
      <w:r>
        <w:rPr>
          <w:i/>
          <w:color w:val="666666"/>
          <w:sz w:val="18"/>
        </w:rPr>
        <w:t>Boveda S et al.  ·  Europace  ·  21.10.2026  ·  PMID 42905913</w:t>
      </w:r>
    </w:p>
    <w:p>
      <w:r>
        <w:t>Europäische Übersichtsarbeit zur Pulsfeldablation (PFA) bei paroxysmalem und persistierendem Vorhofflimmern, basierend auf aktuellen klinischen Studien, mit Angaben zu Effektivität, Komplikationen und Patientenberichteten Ergebnissen.</w:t>
      </w:r>
    </w:p>
    <w:p>
      <w:r>
        <w:rPr>
          <w:b/>
        </w:rPr>
        <w:t xml:space="preserve">Ergebnis: </w:t>
      </w:r>
      <w:r>
        <w:t>Paroxysmal Vorhofflimmern: 12-Monats-Arrhythmiefreiheit 75–85 %, Komplikationsrate 1–3 %. Persistierendes Vorhofflimmern: 60–75 % Arrhythmiefreiheit, &lt;3 % schwere Komplikationen. PFA zeigt verbesserte prozedurale Verträglichkeit, reduzierten Analgetika-Bedarf und mögliche Same-Day-Entlassung gegenüber thermalen Methoden.</w:t>
      </w:r>
    </w:p>
    <w:p>
      <w:r>
        <w:rPr>
          <w:b/>
          <w:sz w:val="19"/>
        </w:rPr>
        <w:t xml:space="preserve">Übertragbarkeit: </w:t>
      </w:r>
      <w:r>
        <w:rPr>
          <w:sz w:val="19"/>
        </w:rPr>
        <w:t>Europäische Konsensusarbeit mehrerer Länder (Frankreich, Deutschland, Belgien, UK), direkt auf deutsche EP-Labore übertragbar.</w:t>
      </w:r>
    </w:p>
    <w:p>
      <w:r>
        <w:rPr>
          <w:color w:val="5A7D3A"/>
          <w:sz w:val="18"/>
        </w:rPr>
        <w:t>https://pubmed.ncbi.nlm.nih.gov/42905913/</w:t>
      </w:r>
    </w:p>
    <w:p>
      <w:pPr>
        <w:pStyle w:val="Heading2"/>
      </w:pPr>
      <w:r>
        <w:t>Pulsfeldablation: Echtzeit-Kontrolle der Läsions-Qualität noch nicht standardisiert</w:t>
      </w:r>
    </w:p>
    <w:p>
      <w:r>
        <w:rPr>
          <w:i/>
          <w:color w:val="666666"/>
          <w:sz w:val="18"/>
        </w:rPr>
        <w:t>Cespón-Fernández M et al.  ·  Europace  ·  21.10.2026  ·  PMID 42905912</w:t>
      </w:r>
    </w:p>
    <w:p>
      <w:r>
        <w:t>Europäischer Übersichtsartikel zu Methoden der intraprozedualen Überwachung und Kontrolle der Läsions-Bildung und -Dauerhaftigkeit bei Pulsfeldablation für Vorhofflimmern.</w:t>
      </w:r>
    </w:p>
    <w:p>
      <w:r>
        <w:rPr>
          <w:b/>
        </w:rPr>
        <w:t xml:space="preserve">Ergebnis: </w:t>
      </w:r>
      <w:r>
        <w:t>Läsionsgröße und -geometrie hängen primär vom elektrischen Feld und kumulativer Elektroporation ab. Konventionelle thermale Marker (Elektrogramm-Abschwächung, Impedanzänderung, Stimulationsschwelle) korrelieren schlecht mit durablerender irreversibler Elektroporation. Multiparametrische Läsions-Schätzmodelle zeigen vielversprechende präklinische Ergebnisse, klinische Validierung bleibt begrenzt. Robuste intraprozedurale Marker fehlen noch; gegenwärtige Workflows stützen sich auf standardisierte Energieprotokolle und Läsions-Überlappung.</w:t>
      </w:r>
    </w:p>
    <w:p>
      <w:r>
        <w:rPr>
          <w:b/>
          <w:sz w:val="19"/>
        </w:rPr>
        <w:t xml:space="preserve">Übertragbarkeit: </w:t>
      </w:r>
      <w:r>
        <w:rPr>
          <w:sz w:val="19"/>
        </w:rPr>
        <w:t>Europäische Arbeitsgruppe (Spanien, Schweiz, Niederlande, Belgien, USA), auf deutsche Katheterlabore anwendbar.</w:t>
      </w:r>
    </w:p>
    <w:p>
      <w:r>
        <w:rPr>
          <w:color w:val="5A7D3A"/>
          <w:sz w:val="18"/>
        </w:rPr>
        <w:t>https://pubmed.ncbi.nlm.nih.gov/42905912/</w:t>
      </w:r>
    </w:p>
    <w:p>
      <w:pPr>
        <w:pStyle w:val="Heading2"/>
      </w:pPr>
      <w:r>
        <w:t>Antikoagulation nach VHF-Ablation: Absetzen bei niedrigem Schlaganfallrisiko sicher</w:t>
      </w:r>
    </w:p>
    <w:p>
      <w:r>
        <w:rPr>
          <w:i/>
          <w:color w:val="666666"/>
          <w:sz w:val="18"/>
        </w:rPr>
        <w:t>Lee YS et al.  ·  Heart Rhythm  ·  16.10.2026  ·  PMID 42887624</w:t>
      </w:r>
    </w:p>
    <w:p>
      <w:r>
        <w:t>Post-hoc-Analyse der ALONE-AF-Studie an 840 Patienten, stratifiziert nach CHA2DS2-VASc-Score ≤2 oder ≥3, zum Vergleich Antikoagulations-Absetzen versus Fortsetzung nach erfolgreicher VHF-Ablation.</w:t>
      </w:r>
    </w:p>
    <w:p>
      <w:r>
        <w:rPr>
          <w:b/>
        </w:rPr>
        <w:t xml:space="preserve">Ergebnis: </w:t>
      </w:r>
      <w:r>
        <w:t>CHA2DS2-VASc ≤2: Primärer Endpunkt (Schlaganfall, systemische Embolie, major bleeding) in 0,4 % (Absetzen) vs. 2,4 % (Fortsetzung), Differenz −1,9 Prozentpunkte (p=0,066). CHA2DS2-VASc ≥3: 1,8 % nur in Fortsetzungs-Gruppe. Alle major-bleeding-Ereignisse (n=5) traten in Fortsetzungs-Gruppen auf. Competing-risk-Analyse bestätigte Ergebnisse.</w:t>
      </w:r>
    </w:p>
    <w:p>
      <w:r>
        <w:rPr>
          <w:b/>
          <w:sz w:val="19"/>
        </w:rPr>
        <w:t xml:space="preserve">Übertragbarkeit: </w:t>
      </w:r>
      <w:r>
        <w:rPr>
          <w:sz w:val="19"/>
        </w:rPr>
        <w:t>Koreanische Multizenterstudie, stroke-risk-Stratifizierung international anerkannt und auf Deutschland übertragbar.</w:t>
      </w:r>
    </w:p>
    <w:p>
      <w:r>
        <w:rPr>
          <w:color w:val="5A7D3A"/>
          <w:sz w:val="18"/>
        </w:rPr>
        <w:t>https://pubmed.ncbi.nlm.nih.gov/42887624/</w:t>
      </w:r>
    </w:p>
    <w:p>
      <w:pPr>
        <w:pStyle w:val="Heading1"/>
      </w:pPr>
      <w:r>
        <w:t>Aufgenommen am 22.10.2026</w:t>
      </w:r>
    </w:p>
    <w:p>
      <w:pPr>
        <w:pStyle w:val="Heading2"/>
      </w:pPr>
      <w:r>
        <w:t>Finerenone senkt Sterblichkeit stärker als steroidale MRA bei Diabetes und Nierenerkrankung</w:t>
      </w:r>
    </w:p>
    <w:p>
      <w:r>
        <w:rPr>
          <w:i/>
          <w:color w:val="666666"/>
          <w:sz w:val="18"/>
        </w:rPr>
        <w:t>Kishimori T et al.  ·  ESC Heart Fail  ·  19.10.2026  ·  PMID 42902439</w:t>
      </w:r>
    </w:p>
    <w:p>
      <w:r>
        <w:t>Retrospektive Beobachtungsstudie an 1.102 Patienten mit Typ-2-Diabetes und chronischer Nierenerkrankung ohne vorherige Herzinsuffizienz, die nach SGLT2-Inhibitoren entweder Finerenon oder steroidale Mineralokortikoid-Rezeptor-Antagonisten erhielten.</w:t>
      </w:r>
    </w:p>
    <w:p>
      <w:r>
        <w:rPr>
          <w:b/>
        </w:rPr>
        <w:t xml:space="preserve">Ergebnis: </w:t>
      </w:r>
      <w:r>
        <w:t>Finerenon war mit niedrigerer 18-Monats-Sterblichkeit (2,1 vs. 4,5 Ereignisse/100 Personenjahre; Differenz −2,41 pro 100 Personenjahre) und niedrigerem Risiko für neu aufgetretene Herzinsuffizienz (6,5 vs. 12,9; Differenz −6,38) assoziiert. Kein signifikanter Unterschied bei Nierenergebnissen. Die Autoren weisen auf residuelles Confounding hin.</w:t>
      </w:r>
    </w:p>
    <w:p>
      <w:r>
        <w:rPr>
          <w:b/>
          <w:sz w:val="19"/>
        </w:rPr>
        <w:t xml:space="preserve">Übertragbarkeit: </w:t>
      </w:r>
      <w:r>
        <w:rPr>
          <w:sz w:val="19"/>
        </w:rPr>
        <w:t>Japan, real-world-Daten aus strukturiertem Register; SGLT2-Hemmer sind in Deutschland DMP-Standard.</w:t>
      </w:r>
    </w:p>
    <w:p>
      <w:r>
        <w:rPr>
          <w:color w:val="5A7D3A"/>
          <w:sz w:val="18"/>
        </w:rPr>
        <w:t>https://pubmed.ncbi.nlm.nih.gov/42902439/</w:t>
      </w:r>
    </w:p>
    <w:p>
      <w:pPr>
        <w:pStyle w:val="Heading2"/>
      </w:pPr>
      <w:r>
        <w:t>Bewegungstraining bei älteren Herzinsuffizienz-Patienten mit Gebrechlichkeit: Machbar und wirksam</w:t>
      </w:r>
    </w:p>
    <w:p>
      <w:r>
        <w:rPr>
          <w:i/>
          <w:color w:val="666666"/>
          <w:sz w:val="18"/>
        </w:rPr>
        <w:t>Krishnan S et al.  ·  ESC Heart Fail  ·  21.10.2026  ·  PMID 42902357</w:t>
      </w:r>
    </w:p>
    <w:p>
      <w:r>
        <w:t>Narratives Review zu Belastungstraining bei älteren Patienten mit Herzinsuffizienz und Gebrechlichkeit, mit Fokus auf Pathophysiologie, Sicherheit, optimale Programmgestaltung und Adherence-Strategien.</w:t>
      </w:r>
    </w:p>
    <w:p>
      <w:r>
        <w:rPr>
          <w:b/>
        </w:rPr>
        <w:t xml:space="preserve">Ergebnis: </w:t>
      </w:r>
      <w:r>
        <w:t>Bewegungstraining verbessert sowohl die kardiopulmonale Kapazität als auch den Gebrechlichkeitsstatus und reduziert herzinsuffizienzbedingte Komplikationen. Die Review identifiziert Individualisierung nach körperlicher Leistungsfähigkeit und Überwindung von Adhärenz-Barrieren als Schlüsselbedingung für Erfolg. Detaillierte Empfehlungen zur Programmgestaltung werden gegeben.</w:t>
      </w:r>
    </w:p>
    <w:p>
      <w:r>
        <w:rPr>
          <w:b/>
          <w:sz w:val="19"/>
        </w:rPr>
        <w:t xml:space="preserve">Übertragbarkeit: </w:t>
      </w:r>
      <w:r>
        <w:rPr>
          <w:sz w:val="19"/>
        </w:rPr>
        <w:t>UK (NIHR Leicester); Rehabilitations-Standards sind europäisch etabliert, übertragbar auf deutsche Cardiac-Rehabilitation-Programme.</w:t>
      </w:r>
    </w:p>
    <w:p>
      <w:r>
        <w:rPr>
          <w:color w:val="5A7D3A"/>
          <w:sz w:val="18"/>
        </w:rPr>
        <w:t>https://pubmed.ncbi.nlm.nih.gov/42902357/</w:t>
      </w:r>
    </w:p>
    <w:p>
      <w:pPr>
        <w:pStyle w:val="Heading2"/>
      </w:pPr>
      <w:r>
        <w:t>Drug-Coated Balloons senken Restenose an Seitenasten von Bifurkationsläsionen</w:t>
      </w:r>
    </w:p>
    <w:p>
      <w:r>
        <w:rPr>
          <w:i/>
          <w:color w:val="666666"/>
          <w:sz w:val="18"/>
        </w:rPr>
        <w:t>Ishihara T et al.  ·  Circ Cardiovasc Interv  ·  29.05.2026  ·  PMID 42900708</w:t>
      </w:r>
    </w:p>
    <w:p>
      <w:r>
        <w:t>Multizentrische randomisierte offene Studie mit 299 Patienten mit Bifurkationsläsionen, die Drug-Eluting-Stent (DES) in Hauptstamm erhielten und randomisiert zu zusätzlicher Dilatation der Seitenast mit Drug-Coated Balloon (DCB) oder konventionellem Ballon zugeteilt wurden.</w:t>
      </w:r>
    </w:p>
    <w:p>
      <w:r>
        <w:rPr>
          <w:b/>
        </w:rPr>
        <w:t xml:space="preserve">Ergebnis: </w:t>
      </w:r>
      <w:r>
        <w:t>Restenose der Seitenast nach 9 Monaten/1 Jahr war in der DCB-Gruppe niedriger als in der Non-DCB-Gruppe (8,1 % vs. 18,3 %, p=0,012). Die Inzidenz von Major Adverse Cardiac Events bei 12 Monaten war ähnlich (10,1 % vs. 12,4 %, p=0,58).</w:t>
      </w:r>
    </w:p>
    <w:p>
      <w:r>
        <w:rPr>
          <w:b/>
          <w:sz w:val="19"/>
        </w:rPr>
        <w:t xml:space="preserve">Übertragbarkeit: </w:t>
      </w:r>
      <w:r>
        <w:rPr>
          <w:sz w:val="19"/>
        </w:rPr>
        <w:t>Japan, kathetergestützte Intervention; Methodologie vergleichbar mit europäischen Standards, Ergebnis relevant für interventionelle Kardiologie.</w:t>
      </w:r>
    </w:p>
    <w:p>
      <w:r>
        <w:rPr>
          <w:color w:val="5A7D3A"/>
          <w:sz w:val="18"/>
        </w:rPr>
        <w:t>https://pubmed.ncbi.nlm.nih.gov/42900708/</w:t>
      </w:r>
    </w:p>
    <w:p>
      <w:pPr>
        <w:pStyle w:val="Heading2"/>
      </w:pPr>
      <w:r>
        <w:t>IL-30 von Herzmuskelzellen reduziert Entzündung und Umbau nach Herzinfarkt</w:t>
      </w:r>
    </w:p>
    <w:p>
      <w:r>
        <w:rPr>
          <w:i/>
          <w:color w:val="666666"/>
          <w:sz w:val="18"/>
        </w:rPr>
        <w:t>Chen S et al.  ·  Basic Res Cardiol  ·  20.10.2026  ·  PMID 42900195</w:t>
      </w:r>
    </w:p>
    <w:p>
      <w:r>
        <w:t>Experimentelle Studie in transgenen Mäusen und Humanmaterial (n=75 STEMI-Patienten, longitudinale Kohorte n=247): IL-30-Mangel in Kardiomyozyten verstärkt Immunantwort der Milz und verschlechtert Herzfunktion; Effekt über B-Zell-Signaling via Glycoprotein 130.</w:t>
      </w:r>
    </w:p>
    <w:p>
      <w:r>
        <w:rPr>
          <w:b/>
        </w:rPr>
        <w:t xml:space="preserve">Ergebnis: </w:t>
      </w:r>
      <w:r>
        <w:t>Bei IL-30-defizienten Mäusen stieg Myokard-IgG-Ablagerung und Kardiomyozyten-Apoptose, Herzfunktion verschlechterte sich. Recombinant IL-30 suppresste B-Zell-Germinal-Center und verbesserte Funktion (Effekt abhängig von Milz und gp130-Signaling). Bei STEMI-Patienten: niedriges zirkulierendes IL-30 war unabhängig mit ungünstigem ventrikulärem Remodeling bei 6 Monaten assoziiert (Odds Ratio 4,44; 95%-KI 2,16–9,80; p&lt;0,001); AUC-ROC 0,738.</w:t>
      </w:r>
    </w:p>
    <w:p>
      <w:r>
        <w:rPr>
          <w:b/>
          <w:sz w:val="19"/>
        </w:rPr>
        <w:t xml:space="preserve">Übertragbarkeit: </w:t>
      </w:r>
      <w:r>
        <w:rPr>
          <w:sz w:val="19"/>
        </w:rPr>
        <w:t>China (Humankohorte Fudan University Shanghai); Mechanismus mit klinischem Biomarker-Befund, Grundlage für zukünftige therapeutische Ansätze.</w:t>
      </w:r>
    </w:p>
    <w:p>
      <w:r>
        <w:rPr>
          <w:color w:val="5A7D3A"/>
          <w:sz w:val="18"/>
        </w:rPr>
        <w:t>https://pubmed.ncbi.nlm.nih.gov/42900195/</w:t>
      </w:r>
    </w:p>
    <w:p>
      <w:pPr>
        <w:pStyle w:val="Heading2"/>
      </w:pPr>
      <w:r>
        <w:t>Stickoxid-Exposition erhöht Vorhofflimmer-Risiko um 29 %</w:t>
      </w:r>
    </w:p>
    <w:p>
      <w:r>
        <w:rPr>
          <w:i/>
          <w:color w:val="666666"/>
          <w:sz w:val="18"/>
        </w:rPr>
        <w:t>Cannon EJ et al.  ·  Heart Rhythm  ·  16.10.2026  ·  PMID 42887622</w:t>
      </w:r>
    </w:p>
    <w:p>
      <w:r>
        <w:t>Prospektive Kohortenstudie an 6.618 Teilnehmern aus 6 US-Metropolitan-Bereichen mit 16,5 Jahren Nachverfolgung; Luftschadstoff-Exposition wurde mittels räumlich-zeitlicher Modelle geschätzt, Vorhofflimmer durch Genotestung und Klinikberichte erfasst.</w:t>
      </w:r>
    </w:p>
    <w:p>
      <w:r>
        <w:rPr>
          <w:b/>
        </w:rPr>
        <w:t xml:space="preserve">Ergebnis: </w:t>
      </w:r>
      <w:r>
        <w:t>Eine Interquartil-Erhöhung von Stickstoffdioxid (NO2; 13,5 ppb) war mit 29 % höherem Vorhofflimmer-Risiko verbunden (Hazard Ratio 1,00–1,67). Assoziationen mit PM2,5, NOx und Ozon waren schwächer aber in gleicher Richtung. Mediane NO2-Exposition lag unter der EPA-Grenze von 53 ppb.</w:t>
      </w:r>
    </w:p>
    <w:p>
      <w:r>
        <w:rPr>
          <w:b/>
          <w:sz w:val="19"/>
        </w:rPr>
        <w:t xml:space="preserve">Übertragbarkeit: </w:t>
      </w:r>
      <w:r>
        <w:rPr>
          <w:sz w:val="19"/>
        </w:rPr>
        <w:t>USA; Luftqualitätsbelastung und Schwellwerte unterscheiden sich; Mechanismus-Befund (Umweltbelastung) aber generalisierbar für Prävention.</w:t>
      </w:r>
    </w:p>
    <w:p>
      <w:r>
        <w:rPr>
          <w:color w:val="5A7D3A"/>
          <w:sz w:val="18"/>
        </w:rPr>
        <w:t>https://pubmed.ncbi.nlm.nih.gov/42887622/</w:t>
      </w:r>
    </w:p>
    <w:p>
      <w:pPr>
        <w:pStyle w:val="Heading2"/>
      </w:pPr>
      <w:r>
        <w:t>Machine Learning verbessert Vorhofflimmer-Rezidiv-Vorhersage durch Ablationsqualität</w:t>
      </w:r>
    </w:p>
    <w:p>
      <w:r>
        <w:rPr>
          <w:i/>
          <w:color w:val="666666"/>
          <w:sz w:val="18"/>
        </w:rPr>
        <w:t>Wang K et al.  ·  JACC Clin Electrophysiol  ·  03.10.2026  ·  PMID 42886095</w:t>
      </w:r>
    </w:p>
    <w:p>
      <w:r>
        <w:t>Multizentrische retrospektive Kohortenstudie an 1.782 Patienten (Dezember 2021 bis Dezember 2023) aus 14 chinesischen Krankenhäusern; XGBoost-Modell integriert klinische Merkmale und Ablationsqualitäts-Metriken zur Vorhersage von 1-Jahres-Vorhofflimmer-Rezidiven.</w:t>
      </w:r>
    </w:p>
    <w:p>
      <w:r>
        <w:rPr>
          <w:b/>
        </w:rPr>
        <w:t xml:space="preserve">Ergebnis: </w:t>
      </w:r>
      <w:r>
        <w:t>16,5 % der Patienten (294/1.782) entwickelten Vorhofflimmer-Rezidive innerhalb 1 Jahr. Das XGBoost-Modell erzielte starke interne Diskrimination (AUC 0,918; 95%-KI 0,874–0,962). Klinische Features allein: AUC 0,588; mit Ablationsqualitäts-Metriken: AUC 0,918. Externe Validierung an 2 unabhängigen Zentren (n=239): AUCs 0,992 und 0,951.</w:t>
      </w:r>
    </w:p>
    <w:p>
      <w:r>
        <w:rPr>
          <w:b/>
          <w:sz w:val="19"/>
        </w:rPr>
        <w:t xml:space="preserve">Übertragbarkeit: </w:t>
      </w:r>
      <w:r>
        <w:rPr>
          <w:sz w:val="19"/>
        </w:rPr>
        <w:t>China, multizentrisch; Ablationsqualität ist ein modifizierbarer intraprozedurale Faktor, relevant für europäische Elektro-Physiologen-Standards.</w:t>
      </w:r>
    </w:p>
    <w:p>
      <w:r>
        <w:rPr>
          <w:color w:val="5A7D3A"/>
          <w:sz w:val="18"/>
        </w:rPr>
        <w:t>https://pubmed.ncbi.nlm.nih.gov/42886095/</w:t>
      </w:r>
    </w:p>
    <w:p>
      <w:pPr>
        <w:pStyle w:val="Heading1"/>
      </w:pPr>
      <w:r>
        <w:t>Aufgenommen am 21.10.2026</w:t>
      </w:r>
    </w:p>
    <w:p>
      <w:pPr>
        <w:pStyle w:val="Heading2"/>
      </w:pPr>
      <w:r>
        <w:t>Schwere Trikuspidalinsuffizienz wird meist bei fortgeschrittener Rechtsherzinsuffizienz erkannt</w:t>
      </w:r>
    </w:p>
    <w:p>
      <w:r>
        <w:rPr>
          <w:i/>
          <w:color w:val="666666"/>
          <w:sz w:val="18"/>
        </w:rPr>
        <w:t>Fiore G et al.  ·  Int J Cardiol  ·  20.10.2026  ·  PMID 42901428</w:t>
      </w:r>
    </w:p>
    <w:p>
      <w:r>
        <w:t>Retrospektive Analyse von 625 Patienten mit erstmals diagnostizierter schwerer Trikuspidalinsuffizienz und Subgruppenanalyse von 310 mit vorherigem Echokardiogramm, um zu untersuchen, ob späte Erkennung oder frühe Krankheitsprogression den schlechten Phänotyp erklärt.</w:t>
      </w:r>
    </w:p>
    <w:p>
      <w:r>
        <w:rPr>
          <w:b/>
        </w:rPr>
        <w:t xml:space="preserve">Ergebnis: </w:t>
      </w:r>
      <w:r>
        <w:t>Bei Erstdiagnose schwerer TR zeigten 66,4% Rechtsherzinsuffizienz-Stadium 3 und 17,3% Stadium 4, nur 16,3% Stadium 1–2. Unter 310 Patienten mit Voraufnahme waren bereits 78% in Stadium 3–4, bevor die schwere TR erkannt wurde, nur 7% hatten Stadium 4 erreicht. Höhere RHF-Stadien korrelierten mit 2-Jahres-Mortalität.</w:t>
      </w:r>
    </w:p>
    <w:p>
      <w:r>
        <w:rPr>
          <w:b/>
          <w:sz w:val="19"/>
        </w:rPr>
        <w:t xml:space="preserve">Übertragbarkeit: </w:t>
      </w:r>
      <w:r>
        <w:rPr>
          <w:sz w:val="19"/>
        </w:rPr>
        <w:t>Italien, Universitätsklinik, funktionelle TR überwiegt mit 85% der Fälle</w:t>
      </w:r>
    </w:p>
    <w:p>
      <w:r>
        <w:rPr>
          <w:color w:val="5A7D3A"/>
          <w:sz w:val="18"/>
        </w:rPr>
        <w:t>https://pubmed.ncbi.nlm.nih.gov/42901428/</w:t>
      </w:r>
    </w:p>
    <w:p>
      <w:pPr>
        <w:pStyle w:val="Heading2"/>
      </w:pPr>
      <w:r>
        <w:t>LGE-Dispersions-Mapping sagt Herzrhythmusstörungen nach Herzinfarkt voraus</w:t>
      </w:r>
    </w:p>
    <w:p>
      <w:r>
        <w:rPr>
          <w:i/>
          <w:color w:val="666666"/>
          <w:sz w:val="18"/>
        </w:rPr>
        <w:t>Licordari R et al.  ·  Int J Cardiol  ·  20.10.2026  ·  PMID 42901427</w:t>
      </w:r>
    </w:p>
    <w:p>
      <w:r>
        <w:t>Retrospektive Analyse von 364 Patienten mit Herzinfarkt in der Vorgeschichte, um zu prüfen, ob eine neue MRT-Messung (LGE-Dispersions-Score) das Risiko für plötzlichen Herztod, Kammerflimmern und ICD-Schocks vorhersagt.</w:t>
      </w:r>
    </w:p>
    <w:p>
      <w:r>
        <w:rPr>
          <w:b/>
        </w:rPr>
        <w:t xml:space="preserve">Ergebnis: </w:t>
      </w:r>
      <w:r>
        <w:t>Bei 42 arrhythmischen Ereignissen während 4 Jahren zeigte sich ein LGE-Dispersions-Score &gt;0,5 als unabhängiger Prädiktor (Hazard Ratio 1,16 pro 0,1-Punkte-Anstieg, 95%-KI 1,03–1,29; p=0,005). Der Score war bei Patienten mit erhaltener Auswurffraktion &gt;35% der einzige unabhängige Prädiktor und übertraf die Vorhersagekraft durch Auswurffraktion oder LGE-Ausmaß.</w:t>
      </w:r>
    </w:p>
    <w:p>
      <w:r>
        <w:rPr>
          <w:b/>
          <w:sz w:val="19"/>
        </w:rPr>
        <w:t xml:space="preserve">Übertragbarkeit: </w:t>
      </w:r>
      <w:r>
        <w:rPr>
          <w:sz w:val="19"/>
        </w:rPr>
        <w:t>Italien, Universitätszentren, externe Validierung erforderlich vor klinischer Anwendung</w:t>
      </w:r>
    </w:p>
    <w:p>
      <w:r>
        <w:rPr>
          <w:color w:val="5A7D3A"/>
          <w:sz w:val="18"/>
        </w:rPr>
        <w:t>https://pubmed.ncbi.nlm.nih.gov/42901427/</w:t>
      </w:r>
    </w:p>
    <w:p>
      <w:pPr>
        <w:pStyle w:val="Heading2"/>
      </w:pPr>
      <w:r>
        <w:t>CD36-Genvariante trägt mehr zur dilatativen Kardiomyopathie bei Afrikanern bei als TTN-Mutationen</w:t>
      </w:r>
    </w:p>
    <w:p>
      <w:r>
        <w:rPr>
          <w:i/>
          <w:color w:val="666666"/>
          <w:sz w:val="18"/>
        </w:rPr>
        <w:t>Challa SP et al.  ·  JAMA  ·  19.10.2026  ·  PMID 42895716</w:t>
      </w:r>
    </w:p>
    <w:p>
      <w:r>
        <w:t>Genetische Assoziationsstudie in 4 US-Kohorten (n=82.623 afrikanische Abstammung, 1.316 Kardiomyopathie-Fälle) zur Bestimmung des Beitrags des CD36-Nonsense-Variants Y325* im Vergleich zu TTN-Trunkierungsvarianten und anderen etablierten Genen.</w:t>
      </w:r>
    </w:p>
    <w:p>
      <w:r>
        <w:rPr>
          <w:b/>
        </w:rPr>
        <w:t xml:space="preserve">Ergebnis: </w:t>
      </w:r>
      <w:r>
        <w:t>Homozygote CD36-Y325*-Träger zeigten erhöhtes Kardiomyopathie-Risiko (OR 4,8; 95%-KI 3,1–7,3), Heterozygote (OR 1,4; 95%-KI 1,2–1,7). TTN-Trunkierungen: OR 8,5 (95%-KI 5,5–13,0). Population-attributierter Anteil CD36: 9,0% (6,2% heterozygot, 2,8% homozygot) übertraf TTN-Anteil von 3,7%. CD36 erklärte damit mehr Krankheitslast als bislang angenommene Haupt-Gene.</w:t>
      </w:r>
    </w:p>
    <w:p>
      <w:r>
        <w:rPr>
          <w:b/>
          <w:sz w:val="19"/>
        </w:rPr>
        <w:t xml:space="preserve">Übertragbarkeit: </w:t>
      </w:r>
      <w:r>
        <w:rPr>
          <w:sz w:val="19"/>
        </w:rPr>
        <w:t>USA, 4 große klinische Kohorten, Bedeutung ethnischer Repräsentation in Genomforschung</w:t>
      </w:r>
    </w:p>
    <w:p>
      <w:r>
        <w:rPr>
          <w:color w:val="5A7D3A"/>
          <w:sz w:val="18"/>
        </w:rPr>
        <w:t>https://pubmed.ncbi.nlm.nih.gov/42895716/</w:t>
      </w:r>
    </w:p>
    <w:p>
      <w:pPr>
        <w:pStyle w:val="Heading2"/>
      </w:pPr>
      <w:r>
        <w:t>Dyspnoe ist Haupttreiber sexueller Inaktivität bei Herzinsuffizienz – Ärzte sprechen es kaum an</w:t>
      </w:r>
    </w:p>
    <w:p>
      <w:r>
        <w:rPr>
          <w:i/>
          <w:color w:val="666666"/>
          <w:sz w:val="18"/>
        </w:rPr>
        <w:t>Damy T et al.  ·  ESC Heart Fail  ·  19.10.2026  ·  PMID 42895114</w:t>
      </w:r>
    </w:p>
    <w:p>
      <w:r>
        <w:t>Nationale deskriptive Fragebogenstudie (ROMANT'IC) mit 1.398 Herzinsuffizienz-Patienten (921 Männer, 477 Frauen), um Unterschiede in Sexualität zwischen Geschlechtern und Altersgruppen sowie Symptombelastung zu untersuchen.</w:t>
      </w:r>
    </w:p>
    <w:p>
      <w:r>
        <w:rPr>
          <w:b/>
        </w:rPr>
        <w:t xml:space="preserve">Ergebnis: </w:t>
      </w:r>
      <w:r>
        <w:t>Von 655 Respondenten berichteten 57,8% Männer und 53,7% Frauen keine sexuelle Aktivität in 3 Monaten. Schwere Dyspnoe (NYHA 3–4) war unabhängiger Prädiktor sexueller Inaktivität (OR 3,88; 95%-KI 2,26–6,64; p&lt;0,001). Männer nannten erektile Dysfunktion (49,0%) und Nebenwirkungen (39,5%), Frauen Lustlosigkeit (65,4%) und Depression (42,3%). 72–80% hatten Sexualität mit Kardiologen nie besprochen, unabhängig von Schweregrad.</w:t>
      </w:r>
    </w:p>
    <w:p>
      <w:r>
        <w:rPr>
          <w:b/>
          <w:sz w:val="19"/>
        </w:rPr>
        <w:t xml:space="preserve">Übertragbarkeit: </w:t>
      </w:r>
      <w:r>
        <w:rPr>
          <w:sz w:val="19"/>
        </w:rPr>
        <w:t>Frankreich, multizentrisches Netzwerk, geschlechts- und symptomgerechte Beratung in Routineversorgung nicht etabliert</w:t>
      </w:r>
    </w:p>
    <w:p>
      <w:r>
        <w:rPr>
          <w:color w:val="5A7D3A"/>
          <w:sz w:val="18"/>
        </w:rPr>
        <w:t>https://pubmed.ncbi.nlm.nih.gov/42895114/</w:t>
      </w:r>
    </w:p>
    <w:p>
      <w:pPr>
        <w:pStyle w:val="Heading2"/>
      </w:pPr>
      <w:r>
        <w:t>Frauen nach Herzinfarkt zeigen stärkeren parasympathischen Rückgang bei negativer Laune</w:t>
      </w:r>
    </w:p>
    <w:p>
      <w:r>
        <w:rPr>
          <w:i/>
          <w:color w:val="666666"/>
          <w:sz w:val="18"/>
        </w:rPr>
        <w:t>Vaccarino V et al.  ·  J Am Heart Assoc  ·  16.10.2026  ·  PMID 42885808</w:t>
      </w:r>
    </w:p>
    <w:p>
      <w:r>
        <w:t>Prospektive Kohortenstudie mit 302 Patienten ≤61 Jahren (43% Frauen, Durchschnittsalter 51) mit 7-Tage-Monitoring von Stimmung/Stress per Fragebogen und gleichzeitiger Holter-Überwachung für autonome Parameter.</w:t>
      </w:r>
    </w:p>
    <w:p>
      <w:r>
        <w:rPr>
          <w:b/>
        </w:rPr>
        <w:t xml:space="preserve">Ergebnis: </w:t>
      </w:r>
      <w:r>
        <w:t>Frauen berichteten höhere negative Stimmung und Stress als Männer. Frauen zeigten niedrigere parasympathische Aktivität (Deceleration Capacity). Für jeden log-Anstieg täglich negativer Stimmung sank Deceleration Capacity bei Frauen um 4,5%, bei Männern um 0,5% (p=0,02 für Interaktion). Muster in Herzratenvariabilität ähnlich, auch nach Adjustment für andere Risikofaktoren.</w:t>
      </w:r>
    </w:p>
    <w:p>
      <w:r>
        <w:rPr>
          <w:b/>
          <w:sz w:val="19"/>
        </w:rPr>
        <w:t xml:space="preserve">Übertragbarkeit: </w:t>
      </w:r>
      <w:r>
        <w:rPr>
          <w:sz w:val="19"/>
        </w:rPr>
        <w:t>USA, verschiedene Zentren, psychosoziale Faktoren bei Frauen nach MI unterbehandelt</w:t>
      </w:r>
    </w:p>
    <w:p>
      <w:r>
        <w:rPr>
          <w:color w:val="5A7D3A"/>
          <w:sz w:val="18"/>
        </w:rPr>
        <w:t>https://pubmed.ncbi.nlm.nih.gov/42885808/</w:t>
      </w:r>
    </w:p>
    <w:p>
      <w:pPr>
        <w:pStyle w:val="Heading2"/>
      </w:pPr>
      <w:r>
        <w:t>Lipoprotein(a) und vulnerables Plaque in CT treffen zukünftige Herzinfarkte</w:t>
      </w:r>
    </w:p>
    <w:p>
      <w:r>
        <w:rPr>
          <w:i/>
          <w:color w:val="666666"/>
          <w:sz w:val="18"/>
        </w:rPr>
        <w:t>Isenstein D et al.  ·  JACC Cardiovasc Imaging  ·  09.10.2026  ·  PMID 42867429</w:t>
      </w:r>
    </w:p>
    <w:p>
      <w:r>
        <w:t>Prospektive Kohorte mit Patienten, die eine CT-Koronarangiografie erhielten, zur Untersuchung, ob Lipoprotein(a)-Spiegel und CT-Zeichen vulnerabler Plaques (Low-Attenuation-Plaque) den Myokardinfarkt vorhersagen.</w:t>
      </w:r>
    </w:p>
    <w:p>
      <w:r>
        <w:rPr>
          <w:b/>
        </w:rPr>
        <w:t xml:space="preserve">Ergebnis: </w:t>
      </w:r>
      <w:r>
        <w:t>Studie zeigt Assoziation zwischen Lipoprotein(a), vulnerablem Plaque-Phänotyp in der CT-Bildgebung und zukünftigem Myokardinfarkt, kombiniert laborchemische und bildgebende Risikomarker.</w:t>
      </w:r>
    </w:p>
    <w:p>
      <w:r>
        <w:rPr>
          <w:b/>
          <w:sz w:val="19"/>
        </w:rPr>
        <w:t xml:space="preserve">Übertragbarkeit: </w:t>
      </w:r>
      <w:r>
        <w:rPr>
          <w:sz w:val="19"/>
        </w:rPr>
        <w:t>Multinationale akademische Zentren, nicht-invasive Risikostratifizierung vor Symptomen</w:t>
      </w:r>
    </w:p>
    <w:p>
      <w:r>
        <w:rPr>
          <w:color w:val="5A7D3A"/>
          <w:sz w:val="18"/>
        </w:rPr>
        <w:t>https://pubmed.ncbi.nlm.nih.gov/42867429/</w:t>
      </w:r>
    </w:p>
    <w:p>
      <w:pPr>
        <w:pStyle w:val="Heading1"/>
      </w:pPr>
      <w:r>
        <w:t>Aufgenommen am 20.10.2026</w:t>
      </w:r>
    </w:p>
    <w:p>
      <w:pPr>
        <w:pStyle w:val="Heading2"/>
      </w:pPr>
      <w:r>
        <w:t>Leberfunktionsmuster identifizieren Hochrisiko-Patienten bei akuter Herzinsuffizienz</w:t>
      </w:r>
    </w:p>
    <w:p>
      <w:r>
        <w:rPr>
          <w:i/>
          <w:color w:val="666666"/>
          <w:sz w:val="18"/>
        </w:rPr>
        <w:t>Marcus G et al.  ·  Clin Res Cardiol  ·  19.10.2026  ·  PMID 42895544</w:t>
      </w:r>
    </w:p>
    <w:p>
      <w:r>
        <w:t>Israelische Kohortenstudie an 8332 Hospitalisierungen mit akut dekompensierter Herzinsuffizienz untersuchte, ob Muster der Leberfunktionswerte (AST, ALT, alkalische Phosphatase, Bilirubin) Prognose vorhersagen.</w:t>
      </w:r>
    </w:p>
    <w:p>
      <w:r>
        <w:rPr>
          <w:b/>
        </w:rPr>
        <w:t xml:space="preserve">Ergebnis: </w:t>
      </w:r>
      <w:r>
        <w:t>Vier Phänotypen zeigten deutlich unterschiedliche Sterblichkeit: keine Leberverletzung 3,5 %, hepatozellulär 16,3 %, cholestasisch 9,0 %, kombiniert 24,3 % (p&lt;0,001). Nach Adjustment blieben alle Verletzungsmuster unabhängige Prädiktoren für im-Hospital-Mortalität. Hepatozelluläre und kombinierte Verletzung sagten 30-Tage-Sterblichkeit und -Readmission voraus.</w:t>
      </w:r>
    </w:p>
    <w:p>
      <w:r>
        <w:rPr>
          <w:b/>
          <w:sz w:val="19"/>
        </w:rPr>
        <w:t xml:space="preserve">Übertragbarkeit: </w:t>
      </w:r>
      <w:r>
        <w:rPr>
          <w:sz w:val="19"/>
        </w:rPr>
        <w:t>Israel, vergleichbare Dokumentationspraxis; Routineparameter für deutsche Kliniken verfügbar.</w:t>
      </w:r>
    </w:p>
    <w:p>
      <w:r>
        <w:rPr>
          <w:color w:val="5A7D3A"/>
          <w:sz w:val="18"/>
        </w:rPr>
        <w:t>https://pubmed.ncbi.nlm.nih.gov/42895544/</w:t>
      </w:r>
    </w:p>
    <w:p>
      <w:pPr>
        <w:pStyle w:val="Heading2"/>
      </w:pPr>
      <w:r>
        <w:t>Echokardiographischer Atrial-Coupling-Index prognostiziert Vorhofflimmern nach Schlaganfall</w:t>
      </w:r>
    </w:p>
    <w:p>
      <w:r>
        <w:rPr>
          <w:i/>
          <w:color w:val="666666"/>
          <w:sz w:val="18"/>
        </w:rPr>
        <w:t>Giordano C et al.  ·  Clin Res Cardiol  ·  19.10.2026  ·  PMID 42895543</w:t>
      </w:r>
    </w:p>
    <w:p>
      <w:r>
        <w:t>Italienische Kohortenstudie an 285 Patienten mit embolischem Schlaganfall oder TIA unbekannter Ursache untersuchte, ob der Left Atrial Volumetric-Mechanical Coupling Index (LACI-VM) das Auftreten von Vorhofflimmern vorhersagt.</w:t>
      </w:r>
    </w:p>
    <w:p>
      <w:r>
        <w:rPr>
          <w:b/>
        </w:rPr>
        <w:t xml:space="preserve">Ergebnis: </w:t>
      </w:r>
      <w:r>
        <w:t>Über 10,9 Monate Nachbeobachtung entwickelten 24 Patienten (8,4 %) Vorhofflimmern, 62 % innerhalb eines Jahres. LACI-VM war nach Multivarianzanpassung unabhängig assoziiert mit Vorhofflimmern (HR 6,64; 95%-KI 1,34–59,88; p=0,041). Patienten mit LACI-VM &lt;2,5 und normalen Füllungsdrücken (E/e' ≤10) hatten ~2 % AF-Inzidenz; mit beeinträchtigtem LACI-VM (≥2,5) und erhöhten Drücken (E/e' &gt;10) war das Risiko ~tenfach höher (20 %).</w:t>
      </w:r>
    </w:p>
    <w:p>
      <w:r>
        <w:rPr>
          <w:b/>
          <w:sz w:val="19"/>
        </w:rPr>
        <w:t xml:space="preserve">Übertragbarkeit: </w:t>
      </w:r>
      <w:r>
        <w:rPr>
          <w:sz w:val="19"/>
        </w:rPr>
        <w:t>Italien, kardiologische Echokardiographie; einfache Messung für deutsche Stroke Units anwendbar.</w:t>
      </w:r>
    </w:p>
    <w:p>
      <w:r>
        <w:rPr>
          <w:color w:val="5A7D3A"/>
          <w:sz w:val="18"/>
        </w:rPr>
        <w:t>https://pubmed.ncbi.nlm.nih.gov/42895543/</w:t>
      </w:r>
    </w:p>
    <w:p>
      <w:pPr>
        <w:pStyle w:val="Heading2"/>
      </w:pPr>
      <w:r>
        <w:t>Lipoprotein(a) nicht assoziiert mit Reperfusionsschaden bei STEMI</w:t>
      </w:r>
    </w:p>
    <w:p>
      <w:r>
        <w:rPr>
          <w:i/>
          <w:color w:val="666666"/>
          <w:sz w:val="18"/>
        </w:rPr>
        <w:t>Holzknecht M et al.  ·  Clin Res Cardiol  ·  19.10.2026  ·  PMID 42895541</w:t>
      </w:r>
    </w:p>
    <w:p>
      <w:r>
        <w:t>Österreichische prospektive Kohortenstudie (MARINA-STEMI) an 518 STEMI-Patienten mit primärer PCI untersuchte, ob Lipoprotein(a) mit Ischämie-Reperfusionsschaden (gemessen durch kardiale Magnetresonanztomographie) korreliert.</w:t>
      </w:r>
    </w:p>
    <w:p>
      <w:r>
        <w:rPr>
          <w:b/>
        </w:rPr>
        <w:t xml:space="preserve">Ergebnis: </w:t>
      </w:r>
      <w:r>
        <w:t>LDL-Cholesterin korrelierte mit Infarktgröße (ρ=0,114; p=0,010) und war höher bei Patienten mit intramyokardialer Hämorrhagie (145 vs. 140 mg/dl; p=0,031). Lipoprotein(a) zeigte keine Korrelation mit Infarktgröße (ρ=0,051; p=0,246), keine Assoziation mit intramyokardialer Hämorrhagie (25 vs. 28 nmol/l; p=0,632), und erhöhtes Lp(a) (≥105 nmol/l) war nicht mit MACE assoziiert (8,7 % vs. 8,8 %; p=0,966).</w:t>
      </w:r>
    </w:p>
    <w:p>
      <w:r>
        <w:rPr>
          <w:b/>
          <w:sz w:val="19"/>
        </w:rPr>
        <w:t xml:space="preserve">Übertragbarkeit: </w:t>
      </w:r>
      <w:r>
        <w:rPr>
          <w:sz w:val="19"/>
        </w:rPr>
        <w:t>Österreich, vergleichbares Gesundheitssystem; zeigt Grenzen eines Biomarkers auf, relevant für deutsche Patientenselektion.</w:t>
      </w:r>
    </w:p>
    <w:p>
      <w:r>
        <w:rPr>
          <w:color w:val="5A7D3A"/>
          <w:sz w:val="18"/>
        </w:rPr>
        <w:t>https://pubmed.ncbi.nlm.nih.gov/42895541/</w:t>
      </w:r>
    </w:p>
    <w:p>
      <w:pPr>
        <w:pStyle w:val="Heading2"/>
      </w:pPr>
      <w:r>
        <w:t>ESC-Konsensus zur Nachsorge von Herztransplantierten außerhalb von Zentren</w:t>
      </w:r>
    </w:p>
    <w:p>
      <w:r>
        <w:rPr>
          <w:i/>
          <w:color w:val="666666"/>
          <w:sz w:val="18"/>
        </w:rPr>
        <w:t>Baudry G et al.  ·  Eur J Heart Fail  ·  19.10.2026  ·  PMID 42895118</w:t>
      </w:r>
    </w:p>
    <w:p>
      <w:r>
        <w:t>Europäische Konsensusstellungnahme (HFA/ACNAP/ESC) mit Handlungsempfehlungen für Nicht-Transplantationszentren zur Betreuung von Langzeit-Herztransplantierten hinsichtlich Immunsuppression, Abstoßung, Infektion, kardiale Vaskulopathie, Malignität, Nierenerkrankung und metabolischen Störungen.</w:t>
      </w:r>
    </w:p>
    <w:p>
      <w:r>
        <w:rPr>
          <w:b/>
        </w:rPr>
        <w:t xml:space="preserve">Ergebnis: </w:t>
      </w:r>
      <w:r>
        <w:t>Konsensus empfiehlt strukturierte Nachsorgemodelle mit zeitabhängigen Behandlungsprinzipien, Shared-Care-Modelle zwischen Transplantationszentren und Hausversorgern, klare Kriterien für Überweisung bei komplexen Szenarien (Fertilität, Schwangerschaft, nicht-kardiale Chirurgie, Rehabilitation, palliative Care). Besonderung: systematische Früherkennung und Koordination verringern Komplikationen.</w:t>
      </w:r>
    </w:p>
    <w:p>
      <w:r>
        <w:rPr>
          <w:b/>
          <w:sz w:val="19"/>
        </w:rPr>
        <w:t xml:space="preserve">Übertragbarkeit: </w:t>
      </w:r>
      <w:r>
        <w:rPr>
          <w:sz w:val="19"/>
        </w:rPr>
        <w:t>Europa (Deutschland Mitautor), deutschsprachige Zentren; strukturelle Vorgaben direkt übertragbar.</w:t>
      </w:r>
    </w:p>
    <w:p>
      <w:r>
        <w:rPr>
          <w:color w:val="5A7D3A"/>
          <w:sz w:val="18"/>
        </w:rPr>
        <w:t>https://pubmed.ncbi.nlm.nih.gov/42895118/</w:t>
      </w:r>
    </w:p>
    <w:p>
      <w:pPr>
        <w:pStyle w:val="Heading2"/>
      </w:pPr>
      <w:r>
        <w:t>Herzinsuffizienz zerstört die normale Struktur der Herzmuskel-Tubuli</w:t>
      </w:r>
    </w:p>
    <w:p>
      <w:r>
        <w:rPr>
          <w:i/>
          <w:color w:val="666666"/>
          <w:sz w:val="18"/>
        </w:rPr>
        <w:t>Iqbal Z et al.  ·  J Mol Cell Cardiol  ·  09.10.2026  ·  PMID 42854828</w:t>
      </w:r>
    </w:p>
    <w:p>
      <w:r>
        <w:t>Deutsche Grundlagenstudie an Gewebeschnitten von 8 nicht-insuffizienten und 13 terminal insuffizienten Spenderherzen untersuchte, ob die transmuralen Gradienten der T-Tubuli (Ionenkanäle der Myozyten) bei Herzinsuffizienz erhalten bleiben und ob kleine Biopsien repräsentativ sind.</w:t>
      </w:r>
    </w:p>
    <w:p>
      <w:r>
        <w:rPr>
          <w:b/>
        </w:rPr>
        <w:t xml:space="preserve">Ergebnis: </w:t>
      </w:r>
      <w:r>
        <w:t>In nicht-insuffizienten Herzen war die T-Tubuli-Dichte im Subepikard 45 % höher als im Subendokard (0,16 ± 0,01 % vs. 0,11 ± 0,01 %; p&lt;0,001). Bei HFrEF war die T-Tubuli-Dichte ~40 % niedriger, die extrazelluläre Matrix ~28 % (vs. ~20 %), Myozyten ~50 % breiter, und der transmuraale Gradient war aufgehoben. Apikalregionen zeigten stärkste Remodellierung, sagten aber die übrige LV-T-Tubuli-Parameter mit mittleren relativen Fehlern ~10 % voraus.</w:t>
      </w:r>
    </w:p>
    <w:p>
      <w:r>
        <w:rPr>
          <w:b/>
          <w:sz w:val="19"/>
        </w:rPr>
        <w:t xml:space="preserve">Übertragbarkeit: </w:t>
      </w:r>
      <w:r>
        <w:rPr>
          <w:sz w:val="19"/>
        </w:rPr>
        <w:t>Deutschland (Erlangen, Leipzig, Bad Oeynhausen), humane Explantate; Biopsie-Strategie für klinische T-Tubuli-Diagnostik definiert.</w:t>
      </w:r>
    </w:p>
    <w:p>
      <w:r>
        <w:rPr>
          <w:color w:val="5A7D3A"/>
          <w:sz w:val="18"/>
        </w:rPr>
        <w:t>https://pubmed.ncbi.nlm.nih.gov/42854828/</w:t>
      </w:r>
    </w:p>
    <w:p>
      <w:pPr>
        <w:pStyle w:val="Heading2"/>
      </w:pPr>
      <w:r>
        <w:t>FFR-CT prognostiziert Herzinfarkt und kardiovaskulären Tod unabhängig von Stenosegrad</w:t>
      </w:r>
    </w:p>
    <w:p>
      <w:r>
        <w:rPr>
          <w:i/>
          <w:color w:val="666666"/>
          <w:sz w:val="18"/>
        </w:rPr>
        <w:t>Bell JS et al.  ·  Circulation  ·  20.10.2026  ·  PMID 42770221</w:t>
      </w:r>
    </w:p>
    <w:p>
      <w:r>
        <w:t>Britische Kohortenstudie an 7836 Patienten mit stabiler Koronarer Herzkrankheit untersuchte, ob die computertomographisch abgeleitete Fraktionale Flussreserve (FFR-CT) zukünftige kardiovaskuläre Ereignisse vorhersagt.</w:t>
      </w:r>
    </w:p>
    <w:p>
      <w:r>
        <w:rPr>
          <w:b/>
        </w:rPr>
        <w:t xml:space="preserve">Ergebnis: </w:t>
      </w:r>
      <w:r>
        <w:t>FFR-CT-Werte ≤0,7 waren unabhängig von Stenosegrad mit erhöhtem Myokardinfarktrisiko assoziiert (adjustierte HR 2,94–3,39; p&lt;0,001), FFR-CT ≤0,5 mit kardiovaskulärem Tod (adjustierte HR 2,92; p=0,02). Ein FFR-CT-Wert von 0,67 markierte den optimalen Risikoschwellenwert. Die C-Index für Herzinfarkt oder kardiovaskulären Tod verbesserte sich mit FFR-CT um 0,012 (p&lt;0,001).</w:t>
      </w:r>
    </w:p>
    <w:p>
      <w:r>
        <w:rPr>
          <w:b/>
          <w:sz w:val="19"/>
        </w:rPr>
        <w:t xml:space="preserve">Übertragbarkeit: </w:t>
      </w:r>
      <w:r>
        <w:rPr>
          <w:sz w:val="19"/>
        </w:rPr>
        <w:t>Großbritannien, nationale Datenbank; Methode klinisch etabliert, übertragbar auf deutsche Screening-Strukturen.</w:t>
      </w:r>
    </w:p>
    <w:p>
      <w:r>
        <w:rPr>
          <w:color w:val="5A7D3A"/>
          <w:sz w:val="18"/>
        </w:rPr>
        <w:t>https://pubmed.ncbi.nlm.nih.gov/42770221/</w:t>
      </w:r>
    </w:p>
    <w:p>
      <w:pPr>
        <w:pStyle w:val="Heading1"/>
      </w:pPr>
      <w:r>
        <w:t>Aufgenommen am 19.10.2026</w:t>
      </w:r>
    </w:p>
    <w:p>
      <w:pPr>
        <w:pStyle w:val="Heading2"/>
      </w:pPr>
      <w:r>
        <w:t>GLP-1-Agonisten senken Vorhofflimmernrisiko bei Adipositas und Nierenerkrankung</w:t>
      </w:r>
    </w:p>
    <w:p>
      <w:r>
        <w:rPr>
          <w:i/>
          <w:color w:val="666666"/>
          <w:sz w:val="18"/>
        </w:rPr>
        <w:t>Hassan A et al.  ·  Int J Cardiol  ·  17.10.2026  ·  PMID 42892471</w:t>
      </w:r>
    </w:p>
    <w:p>
      <w:r>
        <w:t>Retrospektive Kohortenstudie an 7.326 propensity-gematched Patienten pro Gruppe, die GLP-1-Rezeptoragonisten (Semaglutid, Liraglutid, Tirzepatid) bei nicht-diabetischen Erwachsenen mit Adipositas und chronischer Nierenerkrankung Stages 3-5 untersuchte.</w:t>
      </w:r>
    </w:p>
    <w:p>
      <w:r>
        <w:rPr>
          <w:b/>
        </w:rPr>
        <w:t xml:space="preserve">Ergebnis: </w:t>
      </w:r>
      <w:r>
        <w:t>Nach 1 Jahr Inzidenz-Vorhofflimmern 1,63% unter GLP-1-RA vs. 2,62% ohne (HR 0,655, 95%-KI 0,508-0,844, p=0,001), entsprechend 34,5% relativer Risikoreduktion. Auch ventrikuläre Arrhythmien (HR 0,556, p=0,002) und Hospitalisierungen (HR 0,668, p&lt;0,001) signifikant reduziert. Effekte persistent über 2–3 Jahre.</w:t>
      </w:r>
    </w:p>
    <w:p>
      <w:r>
        <w:rPr>
          <w:b/>
          <w:sz w:val="19"/>
        </w:rPr>
        <w:t xml:space="preserve">Übertragbarkeit: </w:t>
      </w:r>
      <w:r>
        <w:rPr>
          <w:sz w:val="19"/>
        </w:rPr>
        <w:t>USA-Daten (TriNetX), begrenzte Direktübertragung auf deutsches System</w:t>
      </w:r>
    </w:p>
    <w:p>
      <w:r>
        <w:rPr>
          <w:color w:val="5A7D3A"/>
          <w:sz w:val="18"/>
        </w:rPr>
        <w:t>https://pubmed.ncbi.nlm.nih.gov/42892471/</w:t>
      </w:r>
    </w:p>
    <w:p>
      <w:pPr>
        <w:pStyle w:val="Heading2"/>
      </w:pPr>
      <w:r>
        <w:t>Alkoholbedingte Leberfettsucht erhöht Schlaganfallrisiko bei Vorhofflimmern</w:t>
      </w:r>
    </w:p>
    <w:p>
      <w:r>
        <w:rPr>
          <w:i/>
          <w:color w:val="666666"/>
          <w:sz w:val="18"/>
        </w:rPr>
        <w:t>Go YH et al.  ·  Heart Rhythm  ·  16.10.2026  ·  PMID 42887623</w:t>
      </w:r>
    </w:p>
    <w:p>
      <w:r>
        <w:t>Nationale koreanische Kohorte von 196.242 AF-Patienten (2010–2018, Median-Follow-up 5,9 Jahre) stratifiziert nach Leberfettsucht-Phänotyp (kein SLD, MASLD, MetALD, ALD), primärer Endpunkt ischämischer Schlaganfall, adjustierte Hazard Ratios berechnet.</w:t>
      </w:r>
    </w:p>
    <w:p>
      <w:r>
        <w:rPr>
          <w:b/>
        </w:rPr>
        <w:t xml:space="preserve">Ergebnis: </w:t>
      </w:r>
      <w:r>
        <w:t>Gegenüber kein-SLD: MASLD nicht assoziiert mit Schlaganfallrisiko (aHR 1,00, 95%-KI 0,97–1,04). MetALD: aHR 1,09 (KI 1,00–1,18); ALD: aHR 1,16 (KI 1,08–1,26). Alkoholbedingte Phänotypen zeigten höheres Risiko besonders bei niedrigerem CHA2DS2-VA-Score, aber 6-Jahres-Absolutrisiko-Differenzen &lt;1%.</w:t>
      </w:r>
    </w:p>
    <w:p>
      <w:r>
        <w:rPr>
          <w:b/>
          <w:sz w:val="19"/>
        </w:rPr>
        <w:t xml:space="preserve">Übertragbarkeit: </w:t>
      </w:r>
      <w:r>
        <w:rPr>
          <w:sz w:val="19"/>
        </w:rPr>
        <w:t>Südkorea-Kohorte, generalisierbar auf Bevölkerungen ähnlicher Baseline-Epidemiologie</w:t>
      </w:r>
    </w:p>
    <w:p>
      <w:r>
        <w:rPr>
          <w:color w:val="5A7D3A"/>
          <w:sz w:val="18"/>
        </w:rPr>
        <w:t>https://pubmed.ncbi.nlm.nih.gov/42887623/</w:t>
      </w:r>
    </w:p>
    <w:p>
      <w:pPr>
        <w:pStyle w:val="Heading2"/>
      </w:pPr>
      <w:r>
        <w:t>Kardiopulmonale Belastungstestung reduziert Herzinsuffizienz-Sterblichkeit bei Weißen und Hispanern</w:t>
      </w:r>
    </w:p>
    <w:p>
      <w:r>
        <w:rPr>
          <w:i/>
          <w:color w:val="666666"/>
          <w:sz w:val="18"/>
        </w:rPr>
        <w:t>Rice J et al.  ·  ESC Heart Fail  ·  27.08.2026  ·  PMID 42887014</w:t>
      </w:r>
    </w:p>
    <w:p>
      <w:r>
        <w:t>Retrospektive Kohortenstudie mit Propensity-Score-Matching an 8.355 Paarungen von HF-Patienten (2010–2023) aus TriNetX-Datenbanken zum Einsatz von kardiopulmonaler Belastungstestung innerhalb 1 Jahr nach Diagnose und Auswirkung auf Mortalität und Hospitalisierung nach Rasse/Ethnizität.</w:t>
      </w:r>
    </w:p>
    <w:p>
      <w:r>
        <w:rPr>
          <w:b/>
        </w:rPr>
        <w:t xml:space="preserve">Ergebnis: </w:t>
      </w:r>
      <w:r>
        <w:t>CPET-Nutzung insgesamt 1,27% (Weiße 1,39%, Schwarze 1,20%, Hispanier 0,69%, Asiaten 0,79%). 1-Jahres-Mortalität nach CPET: HR 0,58 (KI 0,51–0,65, p&lt;0,001) bei Weißen, HR 0,50 (KI 0,25–0,98, p=0,040) bei Hispanern; Schwarze zeigten Trend ohne Signifikanz (HR 0,70, p=0,214). HF-Hospitalisierung höher in CPET-Gruppe (Überwachungsbias).</w:t>
      </w:r>
    </w:p>
    <w:p>
      <w:r>
        <w:rPr>
          <w:b/>
          <w:sz w:val="19"/>
        </w:rPr>
        <w:t xml:space="preserve">Übertragbarkeit: </w:t>
      </w:r>
      <w:r>
        <w:rPr>
          <w:sz w:val="19"/>
        </w:rPr>
        <w:t>USA-Daten, Disparitäten-Befund ist übertragbar, Absolut-Zahlen sind nicht generalisierbar</w:t>
      </w:r>
    </w:p>
    <w:p>
      <w:r>
        <w:rPr>
          <w:color w:val="5A7D3A"/>
          <w:sz w:val="18"/>
        </w:rPr>
        <w:t>https://pubmed.ncbi.nlm.nih.gov/42887014/</w:t>
      </w:r>
    </w:p>
    <w:p>
      <w:pPr>
        <w:pStyle w:val="Heading2"/>
      </w:pPr>
      <w:r>
        <w:t>Linksventrikuläre Wandspannung vorhersagbar für neue Herzinsuffizienz</w:t>
      </w:r>
    </w:p>
    <w:p>
      <w:r>
        <w:rPr>
          <w:i/>
          <w:color w:val="666666"/>
          <w:sz w:val="18"/>
        </w:rPr>
        <w:t>White A et al.  ·  Am J Cardiol  ·  14.10.2026  ·  PMID 42874760</w:t>
      </w:r>
    </w:p>
    <w:p>
      <w:r>
        <w:t>Retrospektive Kohortenstudie von 29.246 adulten Patienten ohne prävalente HF oder ≥moderate Klappenvitien, bei denen Transthorakal-Echokardiografie 2014–2020 durchgeführt wurde; linksventrikuläre enddiastolische Wandspannung (LVEDWS) berechnet, Inzidenz-HF aus ICD-Codes, Cox-Regression mit Adjustment für Demografie, Komorbiditäten, BNP, LVEF, LV-Masse-Index.</w:t>
      </w:r>
    </w:p>
    <w:p>
      <w:r>
        <w:rPr>
          <w:b/>
        </w:rPr>
        <w:t xml:space="preserve">Ergebnis: </w:t>
      </w:r>
      <w:r>
        <w:t>Kohorte Median-Alter 59 Jahre, 54% Frauen, 11% Black. Median LVEDWS 14,5 (IQR 11,8–18,0) kdynes/cm². Follow-up maximal 8,2 Jahre (Median 3,7). 3.082 (11%) entwickelten Inzidenz-HF. Jeder 1-Unit-Anstieg LVEDWS: adjustierte HR 1,019 (95%-KI 1,014–1,024) für Inzidenz-HF, konsistent über Subgruppen.</w:t>
      </w:r>
    </w:p>
    <w:p>
      <w:r>
        <w:rPr>
          <w:b/>
          <w:sz w:val="19"/>
        </w:rPr>
        <w:t xml:space="preserve">Übertragbarkeit: </w:t>
      </w:r>
      <w:r>
        <w:rPr>
          <w:sz w:val="19"/>
        </w:rPr>
        <w:t>USA-Klinikdaten (Vanderbilt), Echokardiografie-Parameter sind technisch global standardisiert</w:t>
      </w:r>
    </w:p>
    <w:p>
      <w:r>
        <w:rPr>
          <w:color w:val="5A7D3A"/>
          <w:sz w:val="18"/>
        </w:rPr>
        <w:t>https://pubmed.ncbi.nlm.nih.gov/42874760/</w:t>
      </w:r>
    </w:p>
    <w:p>
      <w:pPr>
        <w:pStyle w:val="Heading2"/>
      </w:pPr>
      <w:r>
        <w:t>PCI-Aufschub vor TAVR sicher, aber bei komplexer KHK (SYNTAX &gt;17) erhöhtes Ischämierisiko</w:t>
      </w:r>
    </w:p>
    <w:p>
      <w:r>
        <w:rPr>
          <w:i/>
          <w:color w:val="666666"/>
          <w:sz w:val="18"/>
        </w:rPr>
        <w:t>Broeze GM et al.  ·  JACC Cardiovasc Interv  ·  12.10.2026  ·  PMID 42863875</w:t>
      </w:r>
    </w:p>
    <w:p>
      <w:r>
        <w:t>Substudie der randomisierten PRO-TAVI-Studie an 466 Patienten mit bedeutsamer koronarer Herzerkrankung und TAVR-Indikation, stratifiziert nach SYNTAX-Score (Ausmaß der KHK), verglichen PCI-Aufschub vs. PCI vor TAVR.</w:t>
      </w:r>
    </w:p>
    <w:p>
      <w:r>
        <w:rPr>
          <w:b/>
        </w:rPr>
        <w:t xml:space="preserve">Ergebnis: </w:t>
      </w:r>
      <w:r>
        <w:t>Primärer Endpunkt (Mortalität, MI, Schlaganfall, schwere Blutung) bei 1 Jahr nicht unterschiedlich zwischen Gruppen. Bei SYNTAX &gt;17: ischämischer Composite-Endpunkt höher in Aufschub-Gruppe (30,9% vs. 14,8%, adjustierte HR 2,43, 95%-KI 1,04–5,64, p=0,04). Blutungen weniger häufig bei Aufschub über alle SYNTAX-Kategorien.</w:t>
      </w:r>
    </w:p>
    <w:p>
      <w:r>
        <w:rPr>
          <w:b/>
          <w:sz w:val="19"/>
        </w:rPr>
        <w:t xml:space="preserve">Übertragbarkeit: </w:t>
      </w:r>
      <w:r>
        <w:rPr>
          <w:sz w:val="19"/>
        </w:rPr>
        <w:t>Niederlande (ZonMw-finanziert), vergleichbares System, direktübertragbar</w:t>
      </w:r>
    </w:p>
    <w:p>
      <w:r>
        <w:rPr>
          <w:color w:val="5A7D3A"/>
          <w:sz w:val="18"/>
        </w:rPr>
        <w:t>https://pubmed.ncbi.nlm.nih.gov/42863875/</w:t>
      </w:r>
    </w:p>
    <w:p>
      <w:pPr>
        <w:pStyle w:val="Heading2"/>
      </w:pPr>
      <w:r>
        <w:t>Netzhaut-Asymmetrie vorhersagbar für Herzinsuffizienz und koronare Erkrankung</w:t>
      </w:r>
    </w:p>
    <w:p>
      <w:r>
        <w:rPr>
          <w:i/>
          <w:color w:val="666666"/>
          <w:sz w:val="18"/>
        </w:rPr>
        <w:t>Liu A et al.  ·  J Am Heart Assoc  ·  06.10.2026  ·  PMID 42808435</w:t>
      </w:r>
    </w:p>
    <w:p>
      <w:r>
        <w:t>Prospektive UK-Biobank-Kohortenstudie an 46.836 Teilnehmern mit bilateraler optischer Kohärenztomografie der Retina, Follow-up bis 12,86 Jahre, Assoziation von Intereye-Asymmetrie retinaler Schichten mit kardiovaskulären Ereignissen mittels multivariater Cox-Regression.</w:t>
      </w:r>
    </w:p>
    <w:p>
      <w:r>
        <w:rPr>
          <w:b/>
        </w:rPr>
        <w:t xml:space="preserve">Ergebnis: </w:t>
      </w:r>
      <w:r>
        <w:t>Größere retinale Asymmetrie konsistent mit kardiovaskulärer Erkrankung assoziiert. Retinale Nervenfaserschicht-Asymmetrie zeigte stärkste Assoziationen: HR ~1,07 für Vorhofflimmern bis 1,15 für Herzinsuffizienz pro SD-Anstieg. Modelle mit Nervenfaserschicht-Asymmetrie verbesserten Risikostratifikation moderat gegenüber mittlerer Netzhautdicke allein. Proteomik deutete auf Verbindung mit extrazellulärer Matrix-Ummodellierung, Inflammation.</w:t>
      </w:r>
    </w:p>
    <w:p>
      <w:r>
        <w:rPr>
          <w:b/>
          <w:sz w:val="19"/>
        </w:rPr>
        <w:t xml:space="preserve">Übertragbarkeit: </w:t>
      </w:r>
      <w:r>
        <w:rPr>
          <w:sz w:val="19"/>
        </w:rPr>
        <w:t>UK-Daten, Screening-Marker ohne unmittelbare deutsche Umsetzung verfügbar</w:t>
      </w:r>
    </w:p>
    <w:p>
      <w:r>
        <w:rPr>
          <w:color w:val="5A7D3A"/>
          <w:sz w:val="18"/>
        </w:rPr>
        <w:t>https://pubmed.ncbi.nlm.nih.gov/42808435/</w:t>
      </w:r>
    </w:p>
    <w:p>
      <w:pPr>
        <w:pStyle w:val="Heading1"/>
      </w:pPr>
      <w:r>
        <w:t>Aufgenommen am 18.10.2026</w:t>
      </w:r>
    </w:p>
    <w:p>
      <w:pPr>
        <w:pStyle w:val="Heading2"/>
      </w:pPr>
      <w:r>
        <w:t>Mittlere sekundäre Mitralinsuffizienz nach optimierter Therapie erhöht Sterblichkeit und Hospitalisierungen</w:t>
      </w:r>
    </w:p>
    <w:p>
      <w:r>
        <w:rPr>
          <w:i/>
          <w:color w:val="666666"/>
          <w:sz w:val="18"/>
        </w:rPr>
        <w:t>Ferrero C et al.  ·  ESC Heart Fail  ·  17.10.2026  ·  PMID 42888505</w:t>
      </w:r>
    </w:p>
    <w:p>
      <w:r>
        <w:t>Kohortenstudie mit 2.468 Patienten mit Herzinsuffizienz, bei denen echokardiographisch Mitralklappenfunktion bei Baseline und nach 12 Monaten optimierter leitliniengerechter medikamentöser Therapie beurteilt wurde; Follow-up bis 6,9 Jahre auf primären Endpunkt (Sterblichkeit oder Herzinsuffizienz-Hospitalisierung).</w:t>
      </w:r>
    </w:p>
    <w:p>
      <w:r>
        <w:rPr>
          <w:b/>
        </w:rPr>
        <w:t xml:space="preserve">Ergebnis: </w:t>
      </w:r>
      <w:r>
        <w:t>80,5 % der Patienten hatten keine oder milde Mitralinsuffizienz, 15,6 % moderate und 3,9 % schwere. Bei moderater Mitralinsuffizienz nach 12 Monaten zeigten sich gegenüber keine/milder Insuffizienz erhöhte Hazard Ratios für den primären Endpunkt (HR 1,69; 95 %-KI 1,47–1,95), erhöhte Sterblichkeit (HR 1,54; 95 %-KI 1,32–1,79) und rezidivierende Hospitalisierungen (IRR 2,17; 95 %-KI 1,81–2,60). Hospitalisierungsrate 9,03 pro 100 Personenjahre ohne/mild vs. 20,0 bei moderat vs. 26,1 bei schwerer Insuffizienz.</w:t>
      </w:r>
    </w:p>
    <w:p>
      <w:r>
        <w:rPr>
          <w:b/>
          <w:sz w:val="19"/>
        </w:rPr>
        <w:t xml:space="preserve">Übertragbarkeit: </w:t>
      </w:r>
      <w:r>
        <w:rPr>
          <w:sz w:val="19"/>
        </w:rPr>
        <w:t>Spanische und italienische Universitätskliniken, direkt übertragbar auf deutsches Versorgungssystem.</w:t>
      </w:r>
    </w:p>
    <w:p>
      <w:r>
        <w:rPr>
          <w:color w:val="5A7D3A"/>
          <w:sz w:val="18"/>
        </w:rPr>
        <w:t>https://pubmed.ncbi.nlm.nih.gov/42888505/</w:t>
      </w:r>
    </w:p>
    <w:p>
      <w:pPr>
        <w:pStyle w:val="Heading2"/>
      </w:pPr>
      <w:r>
        <w:t>Versorgungslücken bei Herzinsuffizienz-Therapie in Skandinavien quantifiziert</w:t>
      </w:r>
    </w:p>
    <w:p>
      <w:r>
        <w:rPr>
          <w:i/>
          <w:color w:val="666666"/>
          <w:sz w:val="18"/>
        </w:rPr>
        <w:t>Norhammar A et al.  ·  Open Heart  ·  16.10.2026  ·  PMID 42888009</w:t>
      </w:r>
    </w:p>
    <w:p>
      <w:r>
        <w:t>Zweländer-Analyse (Schweden, Norwegen) mit nationalen Registerdaten zur Implementierung moderner Herzinsuffizienz-Therapie (GDMT, Device-Therapie) nach ESC-Leitlinien; Vergleich von Therapieintensität und Outcomes zwischen beiden Ländern und Versorgungsregionen.</w:t>
      </w:r>
    </w:p>
    <w:p>
      <w:r>
        <w:rPr>
          <w:b/>
        </w:rPr>
        <w:t xml:space="preserve">Ergebnis: </w:t>
      </w:r>
      <w:r>
        <w:t>Konkrete Implementierungsraten und Gaps in der Verordnung neuer Medikamentenklassen (SGLT2-Hemmer, GLP-1-RA) und Device-Therapien werden dokumentiert; Unterschiede in Therapieintensität zwischen Schweden und Norwegen sowie zwischen urban und rural gelegenen Zentren identifiziert; Assoziationen mit Krankenhaus-Readmission und Mortalität.</w:t>
      </w:r>
    </w:p>
    <w:p>
      <w:r>
        <w:rPr>
          <w:b/>
          <w:sz w:val="19"/>
        </w:rPr>
        <w:t xml:space="preserve">Übertragbarkeit: </w:t>
      </w:r>
      <w:r>
        <w:rPr>
          <w:sz w:val="19"/>
        </w:rPr>
        <w:t>Skandinavische Gesundheitssysteme mit ähnlicher Dokumentation und Struktur wie deutsches DMP.</w:t>
      </w:r>
    </w:p>
    <w:p>
      <w:r>
        <w:rPr>
          <w:color w:val="5A7D3A"/>
          <w:sz w:val="18"/>
        </w:rPr>
        <w:t>https://pubmed.ncbi.nlm.nih.gov/42888009/</w:t>
      </w:r>
    </w:p>
    <w:p>
      <w:pPr>
        <w:pStyle w:val="Heading2"/>
      </w:pPr>
      <w:r>
        <w:t>Vier Vorhoflimmer-Phänotypen nach Komorbiditätsprofil: Adhärenz zu integrierter Versorgung schützt alle</w:t>
      </w:r>
    </w:p>
    <w:p>
      <w:r>
        <w:rPr>
          <w:i/>
          <w:color w:val="666666"/>
          <w:sz w:val="18"/>
        </w:rPr>
        <w:t>Mantovani M et al.  ·  Heart Rhythm  ·  16.10.2026  ·  PMID 42887625</w:t>
      </w:r>
    </w:p>
    <w:p>
      <w:r>
        <w:t>Prospektive Kohortenstudie mit 1.233 Vorhofflimmer-Patienten; Latente-Klassen-Analyse von 11 kardiovaskulären und nicht-kardiovaskulären Komorbiditäten zur Identifikation klinischer Phänotypen; Median-Follow-up 542 Tage; primärer Endpunkt Kompositum aus Sterblichkeit, thromboembolischen Ereignissen und akutem Koronarsyndrom.</w:t>
      </w:r>
    </w:p>
    <w:p>
      <w:r>
        <w:rPr>
          <w:b/>
        </w:rPr>
        <w:t xml:space="preserve">Ergebnis: </w:t>
      </w:r>
      <w:r>
        <w:t>Vier LCA-Phänotypen: Low comorbidity (31,5 %), Cardio-metabolic (33,9 %), Elderly comorbid (22,9 %), Atherosclerotic-HF (11,8 %). Primärer Endpunkt trat bei 22,7 % ein. Versus Low-comorbidity-Gruppe zeigten sich erhöhte aHR: Cardio-metabolic aHR 1,64 (95 %-KI 1,13–2,39), Elderly comorbid aHR 1,62 (95 %-KI 1,09–2,42), Atherosclerotic-HF aHR 2,81 (95 %-KI 1,83–4,34). Adhärenz zu integrierter Versorgung senkte Risiko in allen Phänotypen ohne signifikante Heterogenität.</w:t>
      </w:r>
    </w:p>
    <w:p>
      <w:r>
        <w:rPr>
          <w:b/>
          <w:sz w:val="19"/>
        </w:rPr>
        <w:t xml:space="preserve">Übertragbarkeit: </w:t>
      </w:r>
      <w:r>
        <w:rPr>
          <w:sz w:val="19"/>
        </w:rPr>
        <w:t>Italienische Universitätsklinik (Modena), Versorgungsforschung übertragbar auf strukturierte deutsche Vorhoflimmer-Programme.</w:t>
      </w:r>
    </w:p>
    <w:p>
      <w:r>
        <w:rPr>
          <w:color w:val="5A7D3A"/>
          <w:sz w:val="18"/>
        </w:rPr>
        <w:t>https://pubmed.ncbi.nlm.nih.gov/42887625/</w:t>
      </w:r>
    </w:p>
    <w:p>
      <w:pPr>
        <w:pStyle w:val="Heading2"/>
      </w:pPr>
      <w:r>
        <w:t>Interatrialer Shunt: sicher bei HFrEF, aber riskant bei HFpEF</w:t>
      </w:r>
    </w:p>
    <w:p>
      <w:r>
        <w:rPr>
          <w:i/>
          <w:color w:val="666666"/>
          <w:sz w:val="18"/>
        </w:rPr>
        <w:t>Rodés-Cabau J et al.  ·  JACC Heart Fail  ·  13.10.2026  ·  PMID 42886087</w:t>
      </w:r>
    </w:p>
    <w:p>
      <w:r>
        <w:t>Randomisierte Studie RELIEVE-HF mit 605 eingeschlossenen und 508 randomisierten Patienten (370 mit Shunt-Implantationsversuch) zur Sicherheit und Dauerhaftigkeit eines Interatrial-Shunts; Stratifizierung nach Ejektionsfraktion (HFrEF ≤40 %, HFpEF &gt;40 %); Follow-up 2 Jahre mit Fokus auf Major Adverse Cardiovascular or Neurological Events (MACNE), ernsthaft unerwünschte Ereignisse und Nierenfunktion.</w:t>
      </w:r>
    </w:p>
    <w:p>
      <w:r>
        <w:rPr>
          <w:b/>
        </w:rPr>
        <w:t xml:space="preserve">Ergebnis: </w:t>
      </w:r>
      <w:r>
        <w:t>Implantationserfolg 99,7 % (369/370). Keine Shunt- oder Prozedur-assoziierten MACNE über 2 Jahre (0 %; 95 %-KI 0–0,9 %); Shunt-Offenheit 99,4 %. Bei HFrEF keine erhöhte MACNE, kein erhöhtes Blutungsrisiko, keine Nierenfunktionsverschlechterung. Bei HFpEF: erhöhte MACNE, höhere ernsthafte Ereignisrate, erhöhtes Blutungsrisiko, Nierenfunktionsverschlechterung.</w:t>
      </w:r>
    </w:p>
    <w:p>
      <w:r>
        <w:rPr>
          <w:b/>
          <w:sz w:val="19"/>
        </w:rPr>
        <w:t xml:space="preserve">Übertragbarkeit: </w:t>
      </w:r>
      <w:r>
        <w:rPr>
          <w:sz w:val="19"/>
        </w:rPr>
        <w:t>Multinationale Studie mit deutschen und europäischen Zentren, direkt auf deutsches System übertragbar.</w:t>
      </w:r>
    </w:p>
    <w:p>
      <w:r>
        <w:rPr>
          <w:color w:val="5A7D3A"/>
          <w:sz w:val="18"/>
        </w:rPr>
        <w:t>https://pubmed.ncbi.nlm.nih.gov/42886087/</w:t>
      </w:r>
    </w:p>
    <w:p>
      <w:pPr>
        <w:pStyle w:val="Heading2"/>
      </w:pPr>
      <w:r>
        <w:t>MicroRNA- und Zytokin-Signatur der kardialen Kachexie identifiziert</w:t>
      </w:r>
    </w:p>
    <w:p>
      <w:r>
        <w:rPr>
          <w:i/>
          <w:color w:val="666666"/>
          <w:sz w:val="18"/>
        </w:rPr>
        <w:t>Tambaro F et al.  ·  ESC Heart Fail  ·  27.08.2026  ·  PMID 42853063</w:t>
      </w:r>
    </w:p>
    <w:p>
      <w:r>
        <w:t>Fall-Kontroll-Studie mit 25 Herzinsuffizienz-Patienten und 10 Kontrollen; Profiling von zirkulierenden microRNAs (miR-15b, miR-29b, miR-133a, miR-486) und Wachstumsfaktoren (GDF-15, FGF-21); Assoziationen mit kardialer Kachexie (≥6 % unbeabsichtigter Gewichtsverlust in 6 Monaten), Ejektionsfraktion und NYHA-Klasse.</w:t>
      </w:r>
    </w:p>
    <w:p>
      <w:r>
        <w:rPr>
          <w:b/>
        </w:rPr>
        <w:t xml:space="preserve">Ergebnis: </w:t>
      </w:r>
      <w:r>
        <w:t>CHF-Patienten gegenüber Kontrollen: niedrigere miR-15b, miR-29b, miR-133a, miR-486 (alle p&lt;0,01); erhöhtes GDF-15 (p&lt;0,001). FGF-21 erhöht bei Kachexie (p=0,012), bei HFrEF vs. HFpEF (p=0,039), bei NYHA III-IV vs. I-II (p=0,05). miR-29b und FGF-21 zeigen Assoziationen mit Kachexie und funktioneller Beeinträchtigung.</w:t>
      </w:r>
    </w:p>
    <w:p>
      <w:r>
        <w:rPr>
          <w:b/>
          <w:sz w:val="19"/>
        </w:rPr>
        <w:t xml:space="preserve">Übertragbarkeit: </w:t>
      </w:r>
      <w:r>
        <w:rPr>
          <w:sz w:val="19"/>
        </w:rPr>
        <w:t>Italienische Universitätklinik (Rom), molekulare Grundlagen zur Therapiestratifizierung.</w:t>
      </w:r>
    </w:p>
    <w:p>
      <w:r>
        <w:rPr>
          <w:color w:val="5A7D3A"/>
          <w:sz w:val="18"/>
        </w:rPr>
        <w:t>https://pubmed.ncbi.nlm.nih.gov/42853063/</w:t>
      </w:r>
    </w:p>
    <w:p>
      <w:pPr>
        <w:pStyle w:val="Heading2"/>
      </w:pPr>
      <w:r>
        <w:t>Prognostische Marker für Langzeitüberleben mit Dauerpumpen-LVAD jenseits von 5 Jahren</w:t>
      </w:r>
    </w:p>
    <w:p>
      <w:r>
        <w:rPr>
          <w:i/>
          <w:color w:val="666666"/>
          <w:sz w:val="18"/>
        </w:rPr>
        <w:t>Velásquez-Silva C et al.  ·  ESC Heart Fail  ·  27.08.2026  ·  PMID 42841476</w:t>
      </w:r>
    </w:p>
    <w:p>
      <w:r>
        <w:t>Bizentrische Landmark-Analyse von 201 Patienten mit kontinuierlichem LVAD-Support ≥5 Jahre; Untersuchung klinischer, laborchemischer, echokardiographischer und hämodynamischer Parameter zum 5-Jahres-Zeitpunkt als Prädiktoren für Mortalität danach; Medial-Follow-up nach dem Landmark 6,9 Jahre.</w:t>
      </w:r>
    </w:p>
    <w:p>
      <w:r>
        <w:rPr>
          <w:b/>
        </w:rPr>
        <w:t xml:space="preserve">Ergebnis: </w:t>
      </w:r>
      <w:r>
        <w:t>189 Patienten mit vollständigen Daten; 77 Todesfälle während Post-Landmark-Follow-up. Unabhängige Mortalitätsprädiktoren: Alter (HR 1,04 pro Jahr; p=0,002), Hämoglobin (HR 0,84 pro mmol/l; p=0,016), MELD-XI-Score (HR 1,10 pro Einheit; p&lt;0,001), ICD-Präsenz (HR 1,60; p=0,049). Diskriminierung akzeptabel (Harrell's C-Index ~0,74).</w:t>
      </w:r>
    </w:p>
    <w:p>
      <w:r>
        <w:rPr>
          <w:b/>
          <w:sz w:val="19"/>
        </w:rPr>
        <w:t xml:space="preserve">Übertragbarkeit: </w:t>
      </w:r>
      <w:r>
        <w:rPr>
          <w:sz w:val="19"/>
        </w:rPr>
        <w:t>Deutsche Zentren dabei (Bochum, Leipzig), vergleichbare LVAD-Programme und Dokumentation.</w:t>
      </w:r>
    </w:p>
    <w:p>
      <w:r>
        <w:rPr>
          <w:color w:val="5A7D3A"/>
          <w:sz w:val="18"/>
        </w:rPr>
        <w:t>https://pubmed.ncbi.nlm.nih.gov/42841476/</w:t>
      </w:r>
    </w:p>
    <w:p>
      <w:pPr>
        <w:pStyle w:val="Heading1"/>
      </w:pPr>
      <w:r>
        <w:t>Aufgenommen am 17.10.2026</w:t>
      </w:r>
    </w:p>
    <w:p>
      <w:pPr>
        <w:pStyle w:val="Heading2"/>
      </w:pPr>
      <w:r>
        <w:t>Belgische Hausarzt-Studie zeigt: korrekte Kodierung verbessert Herzinsuffizienz-Outcomes langfristig</w:t>
      </w:r>
    </w:p>
    <w:p>
      <w:r>
        <w:rPr>
          <w:i/>
          <w:color w:val="666666"/>
          <w:sz w:val="18"/>
        </w:rPr>
        <w:t>Raat W et al.  ·  Open Heart  ·  16.10.2026  ·  PMID 42888010</w:t>
      </w:r>
    </w:p>
    <w:p>
      <w:r>
        <w:t>Belgische Kohortenstudie (OSCAR-HF) an 102 Hausarztpraxen zu langfristigen Ergebnissen bei Herzinsuffizienz-Patienten und zum Einfluss diagnostischer Kodierung in der Primärversorgung.</w:t>
      </w:r>
    </w:p>
    <w:p>
      <w:r>
        <w:rPr>
          <w:b/>
        </w:rPr>
        <w:t xml:space="preserve">Ergebnis: </w:t>
      </w:r>
      <w:r>
        <w:t>Die Studie untersucht prospektiv Sterblichkeit und Krankenhauseinweisungen bei in Hausarztpraxen identifizierten Herzinsuffizienz-Patienten und korreliert diese mit korrekter diagnostischer Kodierung; konkrete Outcome-Zahlen werden berichtet.</w:t>
      </w:r>
    </w:p>
    <w:p>
      <w:r>
        <w:rPr>
          <w:b/>
          <w:sz w:val="19"/>
        </w:rPr>
        <w:t xml:space="preserve">Übertragbarkeit: </w:t>
      </w:r>
      <w:r>
        <w:rPr>
          <w:sz w:val="19"/>
        </w:rPr>
        <w:t>Belgien, vergleichbares europäisches Gesundheitssystem und Hausarzt-zentrierte Versorgung.</w:t>
      </w:r>
    </w:p>
    <w:p>
      <w:r>
        <w:rPr>
          <w:color w:val="5A7D3A"/>
          <w:sz w:val="18"/>
        </w:rPr>
        <w:t>https://pubmed.ncbi.nlm.nih.gov/42888010/</w:t>
      </w:r>
    </w:p>
    <w:p>
      <w:pPr>
        <w:pStyle w:val="Heading2"/>
      </w:pPr>
      <w:r>
        <w:t>Sacubitril hemmt Arrhythmien über NPR-C-Aktivierung: Grundlagenmechanismus mit klinischem Entwicklungspotenzial</w:t>
      </w:r>
    </w:p>
    <w:p>
      <w:r>
        <w:rPr>
          <w:i/>
          <w:color w:val="666666"/>
          <w:sz w:val="18"/>
        </w:rPr>
        <w:t>Vogel MJ et al.  ·  ESC Heart Fail  ·  27.08.2026  ·  PMID 42887015</w:t>
      </w:r>
    </w:p>
    <w:p>
      <w:r>
        <w:t>Deutsche Mechanismusstudien an isolierten Kaninchen- und humanen induzierten pluripotenten Stammzellen-abgeleiteten Kardiomyozyten, die belegen, dass Sacubitril antiarrhythmisch durch direkte Aktivierung des natriuretischen Peptid-Rezeptors-C wirkt.</w:t>
      </w:r>
    </w:p>
    <w:p>
      <w:r>
        <w:rPr>
          <w:b/>
        </w:rPr>
        <w:t xml:space="preserve">Ergebnis: </w:t>
      </w:r>
      <w:r>
        <w:t>CNP und der NPR-C-Agonist cANP4-23 supprimierten pathologisches diastolisches sarkoplasmatisches Retikulum-Calcium-Leck in Maus-Myozyten (induziert durch ATX-II), dieser Effekt wurde durch NPR-C-Blockade aufgehoben. Sacubitrilat zeigte denselben Mechanismus; in-silico-Modellierung identifizierte plausible Bindungstasche am NPR-C-Dimer.</w:t>
      </w:r>
    </w:p>
    <w:p>
      <w:r>
        <w:rPr>
          <w:b/>
          <w:sz w:val="19"/>
        </w:rPr>
        <w:t xml:space="preserve">Übertragbarkeit: </w:t>
      </w:r>
      <w:r>
        <w:rPr>
          <w:sz w:val="19"/>
        </w:rPr>
        <w:t>Deutsche Universitäten, Grundlagenmechanismus mit klarem Path-to-Clinic für antiarrhythmische Therapie.</w:t>
      </w:r>
    </w:p>
    <w:p>
      <w:r>
        <w:rPr>
          <w:color w:val="5A7D3A"/>
          <w:sz w:val="18"/>
        </w:rPr>
        <w:t>https://pubmed.ncbi.nlm.nih.gov/42887015/</w:t>
      </w:r>
    </w:p>
    <w:p>
      <w:pPr>
        <w:pStyle w:val="Heading2"/>
      </w:pPr>
      <w:r>
        <w:t>Katheter-Ablation bei Vorhofflimmern senkt moderate Trikuspidalinsuffizienz um 51 Prozent</w:t>
      </w:r>
    </w:p>
    <w:p>
      <w:r>
        <w:rPr>
          <w:i/>
          <w:color w:val="666666"/>
          <w:sz w:val="18"/>
        </w:rPr>
        <w:t>Yim J et al.  ·  Open Heart  ·  09.10.2026  ·  PMID 42869492</w:t>
      </w:r>
    </w:p>
    <w:p>
      <w:r>
        <w:t>Systematische Übersichtsarbeit mit Metaanalyse von 17 Studien mit 2747 Patienten zu Katheter-Ablation bei Vorhofflimmern und deren Einfluss auf die Schweregrad der Trikuspidalinsuffizienz.</w:t>
      </w:r>
    </w:p>
    <w:p>
      <w:r>
        <w:rPr>
          <w:b/>
        </w:rPr>
        <w:t xml:space="preserve">Ergebnis: </w:t>
      </w:r>
      <w:r>
        <w:t>AF-Ablation war mit niedrigerer Prävalenz von moderater oder höhergradiger Trikuspidalinsuffizienz assoziiert (Risiko-Differenz −0,21, 95%-KI −0,33 bis −0,09; gepooltes Risiko-Verhältnis 0,49, 95%-KI 0,40 bis 0,60). Bei Patienten, die Sinusrhythmus behielten, war die Verbesserung größer als bei Rezidiv-Vorhofflimmern (Risiko-Differenz −0,28, 95%-KI −0,55 bis −0,01).</w:t>
      </w:r>
    </w:p>
    <w:p>
      <w:r>
        <w:rPr>
          <w:b/>
          <w:sz w:val="19"/>
        </w:rPr>
        <w:t xml:space="preserve">Übertragbarkeit: </w:t>
      </w:r>
      <w:r>
        <w:rPr>
          <w:sz w:val="19"/>
        </w:rPr>
        <w:t>Internationale Studien mit standardisierter Echokardiografie, Metaanalyse auf europäische Versorgung übertragbar.</w:t>
      </w:r>
    </w:p>
    <w:p>
      <w:r>
        <w:rPr>
          <w:color w:val="5A7D3A"/>
          <w:sz w:val="18"/>
        </w:rPr>
        <w:t>https://pubmed.ncbi.nlm.nih.gov/42869492/</w:t>
      </w:r>
    </w:p>
    <w:p>
      <w:pPr>
        <w:pStyle w:val="Heading2"/>
      </w:pPr>
      <w:r>
        <w:t>KI-Modell prognostiziert Kardiomyopathie bei ATTR-Amyloidose mit 100-prozentiger Genauigkeit</w:t>
      </w:r>
    </w:p>
    <w:p>
      <w:r>
        <w:rPr>
          <w:i/>
          <w:color w:val="666666"/>
          <w:sz w:val="18"/>
        </w:rPr>
        <w:t>Ordine L et al.  ·  Open Heart  ·  09.10.2026  ·  PMID 42869491</w:t>
      </w:r>
    </w:p>
    <w:p>
      <w:r>
        <w:t>Entwicklung eines multimodalen Machine-Learning-Modells, das klinische, elektrokardiografische und echokardiografische Daten bei 97 Patienten mit genetisch bestätigter ATTR-Amyloidose ohne initialen Herzbefall zur Vorhersage von Kardiomyopathie kombiniert.</w:t>
      </w:r>
    </w:p>
    <w:p>
      <w:r>
        <w:rPr>
          <w:b/>
        </w:rPr>
        <w:t xml:space="preserve">Ergebnis: </w:t>
      </w:r>
      <w:r>
        <w:t>Das multimodale Ensemble erreichte bei der Vorhersage einer ATTR-Kardiomyopathie im Test-Set 100-prozentige Genauigkeit mit F1-Score 1,0 (AUC 0,74–0,89 in Unimodal-Modellen). Über mittlere Follow-up von 2,5±2,2 Jahren entwickelten 15 von 97 Patienten Kardiomyopathie.</w:t>
      </w:r>
    </w:p>
    <w:p>
      <w:r>
        <w:rPr>
          <w:b/>
          <w:sz w:val="19"/>
        </w:rPr>
        <w:t xml:space="preserve">Übertragbarkeit: </w:t>
      </w:r>
      <w:r>
        <w:rPr>
          <w:sz w:val="19"/>
        </w:rPr>
        <w:t>Italienische Zentren, Methodik auf europäische Screening-Programme für seltene Erkrankungen übertragbar.</w:t>
      </w:r>
    </w:p>
    <w:p>
      <w:r>
        <w:rPr>
          <w:color w:val="5A7D3A"/>
          <w:sz w:val="18"/>
        </w:rPr>
        <w:t>https://pubmed.ncbi.nlm.nih.gov/42869491/</w:t>
      </w:r>
    </w:p>
    <w:p>
      <w:pPr>
        <w:pStyle w:val="Heading2"/>
      </w:pPr>
      <w:r>
        <w:t>Point-of-Care-Troponin-Schnelltest ermöglicht Ausschluss von Herzinfarkt in 2 Stunden bei 80 Prozent</w:t>
      </w:r>
    </w:p>
    <w:p>
      <w:r>
        <w:rPr>
          <w:i/>
          <w:color w:val="666666"/>
          <w:sz w:val="18"/>
        </w:rPr>
        <w:t>Koechlin L et al.  ·  Am Heart J  ·  13.10.2026  ·  PMID 42869272</w:t>
      </w:r>
    </w:p>
    <w:p>
      <w:r>
        <w:t>Validierung eines assay-spezifischen hs-cTnI-SPINCHIP-0/2h-Algorithmus zur Schnelltriage von Patienten mit Verdacht auf Myokardinfarkt in der Notaufnahme an Schweizer Universitätskliniken.</w:t>
      </w:r>
    </w:p>
    <w:p>
      <w:r>
        <w:rPr>
          <w:b/>
        </w:rPr>
        <w:t xml:space="preserve">Ergebnis: </w:t>
      </w:r>
      <w:r>
        <w:t>Der Algorithmus ermöglichte definitive Triage innerhalb von 2 Stunden bei etwa 80 Prozent der Patienten mit sehr hoher Sicherheit für Ausschluss und hoher Genauigkeit für Einschluss eines Myokardinfarkts. Interne Validierung durchgeführt.</w:t>
      </w:r>
    </w:p>
    <w:p>
      <w:r>
        <w:rPr>
          <w:b/>
          <w:sz w:val="19"/>
        </w:rPr>
        <w:t xml:space="preserve">Übertragbarkeit: </w:t>
      </w:r>
      <w:r>
        <w:rPr>
          <w:sz w:val="19"/>
        </w:rPr>
        <w:t>Schweiz, europäische Notaufnahmen mit ähnlicher Infrastruktur und Triage-Anforderungen.</w:t>
      </w:r>
    </w:p>
    <w:p>
      <w:r>
        <w:rPr>
          <w:color w:val="5A7D3A"/>
          <w:sz w:val="18"/>
        </w:rPr>
        <w:t>https://pubmed.ncbi.nlm.nih.gov/42869272/</w:t>
      </w:r>
    </w:p>
    <w:p>
      <w:pPr>
        <w:pStyle w:val="Heading2"/>
      </w:pPr>
      <w:r>
        <w:t>Leitlinien-gerechte Therapie und Entwässerung bei akuter Herzinsuffizienz: Implementierungsergebnisse</w:t>
      </w:r>
    </w:p>
    <w:p>
      <w:r>
        <w:rPr>
          <w:i/>
          <w:color w:val="666666"/>
          <w:sz w:val="18"/>
        </w:rPr>
        <w:t>Ivey-Miranda JB et al.  ·  Eur J Heart Fail  ·  13.10.2026  ·  PMID 42866921</w:t>
      </w:r>
    </w:p>
    <w:p>
      <w:r>
        <w:t>Übersichtsarbeit zur Umsetzung von Leitlinien-geleiteter medikamentöser Therapie und Entwässerungsstrategien bei akuter Herzinsuffizienz unter Beteiligung internationaler Experten aus USA, Polen, Niederlanden und Spanien.</w:t>
      </w:r>
    </w:p>
    <w:p>
      <w:r>
        <w:rPr>
          <w:b/>
        </w:rPr>
        <w:t xml:space="preserve">Ergebnis: </w:t>
      </w:r>
      <w:r>
        <w:t>Die Übersichtsarbeit analysiert Implementierungslücken zwischen evidenzbasierter Therapie und klinischer Praxis bei akuter Herzinsuffizienz; benennt konkrete Barrieren und bietet Lösungsansätze für optimierte Entwässerungsprotokolle und GDMT-Eskalation.</w:t>
      </w:r>
    </w:p>
    <w:p>
      <w:r>
        <w:rPr>
          <w:b/>
          <w:sz w:val="19"/>
        </w:rPr>
        <w:t xml:space="preserve">Übertragbarkeit: </w:t>
      </w:r>
      <w:r>
        <w:rPr>
          <w:sz w:val="19"/>
        </w:rPr>
        <w:t>Europäische und nordamerikanische Kliniken mit vergleichbaren Notaufnahme- und Intensivstrukturen.</w:t>
      </w:r>
    </w:p>
    <w:p>
      <w:r>
        <w:rPr>
          <w:color w:val="5A7D3A"/>
          <w:sz w:val="18"/>
        </w:rPr>
        <w:t>https://pubmed.ncbi.nlm.nih.gov/42866921/</w:t>
      </w:r>
    </w:p>
    <w:p>
      <w:pPr>
        <w:pStyle w:val="Heading1"/>
      </w:pPr>
      <w:r>
        <w:t>Aufgenommen am 16.10.2026</w:t>
      </w:r>
    </w:p>
    <w:p>
      <w:pPr>
        <w:pStyle w:val="Heading2"/>
      </w:pPr>
      <w:r>
        <w:t>Koronare Mikrogefäßerkrankung bei MINOCA mit erhöhtem Mortalitätsrisiko</w:t>
      </w:r>
    </w:p>
    <w:p>
      <w:r>
        <w:rPr>
          <w:i/>
          <w:color w:val="666666"/>
          <w:sz w:val="18"/>
        </w:rPr>
        <w:t>Carrington JG et al.  ·  Circ Cardiovasc Interv  ·  15.10.2026  ·  PMID 42877957</w:t>
      </w:r>
    </w:p>
    <w:p>
      <w:r>
        <w:t>Prospektive Kohorte (622 Patienten, 2012–2022) mit invasiver Koronarfunktionsprüfung zur Häufigkeit und Prognose der koronaren Mikrogefäßerkrankung (CMD) bei MINOCA und ANOCA.</w:t>
      </w:r>
    </w:p>
    <w:p>
      <w:r>
        <w:rPr>
          <w:b/>
        </w:rPr>
        <w:t xml:space="preserve">Ergebnis: </w:t>
      </w:r>
      <w:r>
        <w:t>CMD-Prävalenz: 71% bei MINOCA vs. 64% bei ANOCA (p=0,271); endothelium-unabhängige CMD häufiger bei MINOCA (41% vs. 21%, p&lt;0,001). MACE über Median 4,5 Jahre: 40% bei MINOCA vs. 11% bei ANOCA (adjustiertes HR 2,4, p=0,001). CMD prädikte höhere MACE in MINOCA (HR 3,6, 95%-KI 1,1–12,0) und ANOCA (HR 7,9, 95%-KI 2,9–21,8).</w:t>
      </w:r>
    </w:p>
    <w:p>
      <w:r>
        <w:rPr>
          <w:b/>
          <w:sz w:val="19"/>
        </w:rPr>
        <w:t xml:space="preserve">Übertragbarkeit: </w:t>
      </w:r>
      <w:r>
        <w:rPr>
          <w:sz w:val="19"/>
        </w:rPr>
        <w:t>USA-Klinikdaten; Sicherheitsbefund und Prognosestratifizierung übertragbar</w:t>
      </w:r>
    </w:p>
    <w:p>
      <w:r>
        <w:rPr>
          <w:color w:val="5A7D3A"/>
          <w:sz w:val="18"/>
        </w:rPr>
        <w:t>https://pubmed.ncbi.nlm.nih.gov/42877957/</w:t>
      </w:r>
    </w:p>
    <w:p>
      <w:pPr>
        <w:pStyle w:val="Heading2"/>
      </w:pPr>
      <w:r>
        <w:t>Frauen unterrepräsentiert in Herzinsuffizienz-Studien, möglicherweise besseres Ansprechen</w:t>
      </w:r>
    </w:p>
    <w:p>
      <w:r>
        <w:rPr>
          <w:i/>
          <w:color w:val="666666"/>
          <w:sz w:val="18"/>
        </w:rPr>
        <w:t>Fazzini L et al.  ·  Eur J Heart Fail  ·  15.10.2026  ·  PMID 42876202</w:t>
      </w:r>
    </w:p>
    <w:p>
      <w:r>
        <w:t>Systematische Übersichtsarbeit und Metaanalyse von 56 RCTs zur Geschlechterdifferenz bei Herzinsuffizienz-Therapien hinsichtlich Patientenrekrutierung und Therapieeffekte.</w:t>
      </w:r>
    </w:p>
    <w:p>
      <w:r>
        <w:rPr>
          <w:b/>
        </w:rPr>
        <w:t xml:space="preserve">Ergebnis: </w:t>
      </w:r>
      <w:r>
        <w:t>Frauenanteil nur 27,0% (95%-KI: 22,0–32,4%) in Medikamentenstudien und 25,3% (95%-KI: 21,0–29,9%) in Device-Studien. In HFpEF-Studien höher (49,6%) als in HFrEF (21,0%). Pooled Sex-Interaktion für Hazard Ratio 0,94 (95%-KI: 0,89–1,01), für Risk Ratio 0,81 (95%-KI: 0,68–0,96) – deutet auf potenziell besseres Benefit für Frauen hin.</w:t>
      </w:r>
    </w:p>
    <w:p>
      <w:r>
        <w:rPr>
          <w:b/>
          <w:sz w:val="19"/>
        </w:rPr>
        <w:t xml:space="preserve">Übertragbarkeit: </w:t>
      </w:r>
      <w:r>
        <w:rPr>
          <w:sz w:val="19"/>
        </w:rPr>
        <w:t>Internationale RCT-Daten, Leitlinien-relevante Frage der Geschlechtergerechtigkeit</w:t>
      </w:r>
    </w:p>
    <w:p>
      <w:r>
        <w:rPr>
          <w:color w:val="5A7D3A"/>
          <w:sz w:val="18"/>
        </w:rPr>
        <w:t>https://pubmed.ncbi.nlm.nih.gov/42876202/</w:t>
      </w:r>
    </w:p>
    <w:p>
      <w:pPr>
        <w:pStyle w:val="Heading2"/>
      </w:pPr>
      <w:r>
        <w:t>Elastische Unterschenkelbinde verbessert Diuretika-Effizienz bei dekompensierter Herzinsuffizienz</w:t>
      </w:r>
    </w:p>
    <w:p>
      <w:r>
        <w:rPr>
          <w:i/>
          <w:color w:val="666666"/>
          <w:sz w:val="18"/>
        </w:rPr>
        <w:t>Suppadungsuk S et al.  ·  Eur J Heart Fail  ·  14.10.2026  ·  PMID 42874074</w:t>
      </w:r>
    </w:p>
    <w:p>
      <w:r>
        <w:t>Retrospektive Kohortenstudie (n=176 Patienten, Mayo Clinic 2007–2017) zur Auswirkung von Unterschenkel-Kompressionsbinden auf Diuretika-Effizienz bei akut dekompensierter Herzinsuffizienz (ADHF) mit Diuretika-Resistenz.</w:t>
      </w:r>
    </w:p>
    <w:p>
      <w:r>
        <w:rPr>
          <w:b/>
        </w:rPr>
        <w:t xml:space="preserve">Ergebnis: </w:t>
      </w:r>
      <w:r>
        <w:t>Nach Anlegen der Binde: durchschnittliche tägliche Schleifendiuretika-Dosis um 1,19 mg pro 40-mg-Furosemid-Äquivalent gesenkt (95%-KI 0,22–2,2, p=0,016). Diuretika-Effizienz post-Binde 1.355 mL (IQR 1.119–1.590) pro 40 mg Furosemid vs. pre-Binde, Differenz 340 mL (95%-KI –554 bis –125, p=0,002). Urinausscheidung unverändert (2.642 vs. 2.792 mL/Tag, p=0,33). Krankenhaus-Mortalität 9,7%, mediane Liegedauer 11,4 Tage.</w:t>
      </w:r>
    </w:p>
    <w:p>
      <w:r>
        <w:rPr>
          <w:b/>
          <w:sz w:val="19"/>
        </w:rPr>
        <w:t xml:space="preserve">Übertragbarkeit: </w:t>
      </w:r>
      <w:r>
        <w:rPr>
          <w:sz w:val="19"/>
        </w:rPr>
        <w:t>US-Klinikdaten; Einfaches, potenziell kostengünstiges Verfahren, Übertragung auf deutsches Setting denkbar</w:t>
      </w:r>
    </w:p>
    <w:p>
      <w:r>
        <w:rPr>
          <w:color w:val="5A7D3A"/>
          <w:sz w:val="18"/>
        </w:rPr>
        <w:t>https://pubmed.ncbi.nlm.nih.gov/42874074/</w:t>
      </w:r>
    </w:p>
    <w:p>
      <w:pPr>
        <w:pStyle w:val="Heading2"/>
      </w:pPr>
      <w:r>
        <w:t>Pulsed-Field-Ablation als Erstlinientherapie bei Vorhofflimmern wirksam</w:t>
      </w:r>
    </w:p>
    <w:p>
      <w:r>
        <w:rPr>
          <w:i/>
          <w:color w:val="666666"/>
          <w:sz w:val="18"/>
        </w:rPr>
        <w:t>García-Bolao I et al.  ·  Europace  ·  14.10.2026  ·  PMID 42872380</w:t>
      </w:r>
    </w:p>
    <w:p>
      <w:r>
        <w:t>Europäische Multizenterstudie (FARADISE-Subanalyse) zur Wirksamkeit und Sicherheit der Pulsed-Field-Ablation als erste Ablationstherapie bei Vorhofflimmern.</w:t>
      </w:r>
    </w:p>
    <w:p>
      <w:r>
        <w:rPr>
          <w:b/>
        </w:rPr>
        <w:t xml:space="preserve">Ergebnis: </w:t>
      </w:r>
      <w:r>
        <w:t>Unter den analysierten Patienten zeigte Pulsed-Field-Ablation als First-Line-Therapie bei Vorhofflimmern gute Erfolgsraten; genaue quantitative Endpunkte (Rezidivfreiheit, Sicherheit) werden im Abstract nicht beziffert. Diese Technik stellt eine Alternative zu thermischen Ablationsverfahren dar.</w:t>
      </w:r>
    </w:p>
    <w:p>
      <w:r>
        <w:rPr>
          <w:b/>
          <w:sz w:val="19"/>
        </w:rPr>
        <w:t xml:space="preserve">Übertragbarkeit: </w:t>
      </w:r>
      <w:r>
        <w:rPr>
          <w:sz w:val="19"/>
        </w:rPr>
        <w:t>Europäische Zentren, vergleichbare interventionelle Standards</w:t>
      </w:r>
    </w:p>
    <w:p>
      <w:r>
        <w:rPr>
          <w:color w:val="5A7D3A"/>
          <w:sz w:val="18"/>
        </w:rPr>
        <w:t>https://pubmed.ncbi.nlm.nih.gov/42872380/</w:t>
      </w:r>
    </w:p>
    <w:p>
      <w:pPr>
        <w:pStyle w:val="Heading2"/>
      </w:pPr>
      <w:r>
        <w:t>Herzinsuffizienz-Präventionsdienst ermöglicht frühe Diagnose durch strukturierte Versorgung</w:t>
      </w:r>
    </w:p>
    <w:p>
      <w:r>
        <w:rPr>
          <w:i/>
          <w:color w:val="666666"/>
          <w:sz w:val="18"/>
        </w:rPr>
        <w:t>Zahid ZU et al.  ·  Eur J Heart Fail  ·  13.10.2026  ·  PMID 42868507</w:t>
      </w:r>
    </w:p>
    <w:p>
      <w:r>
        <w:t>Qualitative Versorgungsstudie (Irland) zur Wirksamkeit eines proaktiven Heart-Failure-Prevention-Service bei der Früherkennung von Herzinsuffizienz bei Patienten mit kardiovaskulären Risikofaktoren.</w:t>
      </w:r>
    </w:p>
    <w:p>
      <w:r>
        <w:rPr>
          <w:b/>
        </w:rPr>
        <w:t xml:space="preserve">Ergebnis: </w:t>
      </w:r>
      <w:r>
        <w:t>Der strukturierte Präventionsdienst ermöglichte signifikante Früherkennung von Herzinsuffizienz; genaue quantitative Endpunkte (Patientenzahl, Diagnose-Delay, Rehospitalisierung) werden im Abstract nicht beziffert. Der Dienst zeigt, dass auch Patienten, bei denen präventive Ziele nicht erreicht werden, von früher klinischer Diagnose profitieren können.</w:t>
      </w:r>
    </w:p>
    <w:p>
      <w:r>
        <w:rPr>
          <w:b/>
          <w:sz w:val="19"/>
        </w:rPr>
        <w:t xml:space="preserve">Übertragbarkeit: </w:t>
      </w:r>
      <w:r>
        <w:rPr>
          <w:sz w:val="19"/>
        </w:rPr>
        <w:t>Irland, NHS-ähnliches System; Versorgungsmodell zur Disease-Management-Koordination übertragbar</w:t>
      </w:r>
    </w:p>
    <w:p>
      <w:r>
        <w:rPr>
          <w:color w:val="5A7D3A"/>
          <w:sz w:val="18"/>
        </w:rPr>
        <w:t>https://pubmed.ncbi.nlm.nih.gov/42868507/</w:t>
      </w:r>
    </w:p>
    <w:p>
      <w:pPr>
        <w:pStyle w:val="Heading2"/>
      </w:pPr>
      <w:r>
        <w:t>Physiologisches Pacing nach TAVR reduziert Herzinsuffizienz-Hospitalisierung</w:t>
      </w:r>
    </w:p>
    <w:p>
      <w:r>
        <w:rPr>
          <w:i/>
          <w:color w:val="666666"/>
          <w:sz w:val="18"/>
        </w:rPr>
        <w:t>Diez-Delhoyo F et al.  ·  JACC Cardiovasc Interv  ·  12.10.2026  ·  PMID 42863877</w:t>
      </w:r>
    </w:p>
    <w:p>
      <w:r>
        <w:t>Spanische Multizenterstudie (Propensity-Score-Matching, n=466 Paare) zum Vergleich kardialer Leitungssystem-Stimulation (CPP) versus Rechtsventrikel-Pacing (RVP) nach TAVR über 24 Monate Nachbeobachtung.</w:t>
      </w:r>
    </w:p>
    <w:p>
      <w:r>
        <w:rPr>
          <w:b/>
        </w:rPr>
        <w:t xml:space="preserve">Ergebnis: </w:t>
      </w:r>
      <w:r>
        <w:t>Primärer Endpunkt (kardiovaskulärer Tod oder HF-Hospitalisierung): CPP 9,7% vs. RVP 17,6% (HR 0,57, 95%-KI 0,39–0,83, p=0,003). HF-Hospitalisierung: 7,9% vs. 13,9% (HR 0,57, 95%-KI 0,37–0,86, p=0,008). Kardiovaskulärer Tod und Gesamtsterblichkeit ohne signifikante Unterschiede.</w:t>
      </w:r>
    </w:p>
    <w:p>
      <w:r>
        <w:rPr>
          <w:b/>
          <w:sz w:val="19"/>
        </w:rPr>
        <w:t xml:space="preserve">Übertragbarkeit: </w:t>
      </w:r>
      <w:r>
        <w:rPr>
          <w:sz w:val="19"/>
        </w:rPr>
        <w:t>Spanische Krankenhausdaten, vergleichbare Interventions-Standards</w:t>
      </w:r>
    </w:p>
    <w:p>
      <w:r>
        <w:rPr>
          <w:color w:val="5A7D3A"/>
          <w:sz w:val="18"/>
        </w:rPr>
        <w:t>https://pubmed.ncbi.nlm.nih.gov/42863877/</w:t>
      </w:r>
    </w:p>
    <w:p>
      <w:pPr>
        <w:pStyle w:val="Heading2"/>
      </w:pPr>
      <w:r>
        <w:t>Okklusions-Herzinfarkt (OMI) ohne ST-Hebung mit ähnlich hoher Mortalität wie STEMI</w:t>
      </w:r>
    </w:p>
    <w:p>
      <w:r>
        <w:rPr>
          <w:i/>
          <w:color w:val="666666"/>
          <w:sz w:val="18"/>
        </w:rPr>
        <w:t>Milzi A et al.  ·  JACC Cardiovasc Interv  ·  12.10.2026  ·  PMID 42863869</w:t>
      </w:r>
    </w:p>
    <w:p>
      <w:r>
        <w:t>Internationale Multizenterstudie (MATRIX-Kohorte, n=6.558 ACS-Patienten) zur Häufigkeit und Prognose alternativer OMI-Definitionen anhand von TIMI-Fluss-Graden und Troponin-Schwellwerten.</w:t>
      </w:r>
    </w:p>
    <w:p>
      <w:r>
        <w:rPr>
          <w:b/>
        </w:rPr>
        <w:t xml:space="preserve">Ergebnis: </w:t>
      </w:r>
      <w:r>
        <w:t>OMI-Häufigkeit variierte je nach Definition: 37,8% (TIMI 0) bis 76,1% (TIMI 0–2 + Troponin &gt;30×). Ein-Jahres-Mortalität mit independenter Assoziation für Definitionen 1–4 (adjustierte HR 2,08 [95%-KI 1,56–2,78] bis 1,47 [1,01–2,12]), nicht für Definition 5 (HR 1,26, n.s.). NSTEMI-Patienten mit OMI (Def. 1–2) hatten 1-Jahres-Mortalität ähnlich wie STEMI-Patienten (nicht signifikant unterschiedlich).</w:t>
      </w:r>
    </w:p>
    <w:p>
      <w:r>
        <w:rPr>
          <w:b/>
          <w:sz w:val="19"/>
        </w:rPr>
        <w:t xml:space="preserve">Übertragbarkeit: </w:t>
      </w:r>
      <w:r>
        <w:rPr>
          <w:sz w:val="19"/>
        </w:rPr>
        <w:t>Europäische und internationale Zentren (Schweiz, Italien, Spanien); OMI-Klassifikation für deutsches ACS-Management relevant</w:t>
      </w:r>
    </w:p>
    <w:p>
      <w:r>
        <w:rPr>
          <w:color w:val="5A7D3A"/>
          <w:sz w:val="18"/>
        </w:rPr>
        <w:t>https://pubmed.ncbi.nlm.nih.gov/42863869/</w:t>
      </w:r>
    </w:p>
    <w:p>
      <w:pPr>
        <w:pStyle w:val="Heading1"/>
      </w:pPr>
      <w:r>
        <w:t>Aufgenommen am 15.10.2026</w:t>
      </w:r>
    </w:p>
    <w:p>
      <w:pPr>
        <w:pStyle w:val="Heading2"/>
      </w:pPr>
      <w:r>
        <w:t>Tirzepatide senkt kardiovaskuläre Todesfälle und Herzinsuffizienz-Ereignisse gegenüber Dulaglutid</w:t>
      </w:r>
    </w:p>
    <w:p>
      <w:r>
        <w:rPr>
          <w:i/>
          <w:color w:val="666666"/>
          <w:sz w:val="18"/>
        </w:rPr>
        <w:t>Nicholls SJ et al.  ·  Eur J Prev Cardiol  ·  15.10.2026  ·  PMID 42875024</w:t>
      </w:r>
    </w:p>
    <w:p>
      <w:r>
        <w:t>Vergleich von Tirzepatide (bis 15 mg) und Dulaglutide (1,5 mg) bei 3.500+ Patienten mit Typ-2-Diabetes, atherosklerotischer Herzkreislauf-Erkrankung und in 20% mit Herzinsuffizienz-Geschichte über durchschnittlich 4 Jahre.</w:t>
      </w:r>
    </w:p>
    <w:p>
      <w:r>
        <w:rPr>
          <w:b/>
        </w:rPr>
        <w:t xml:space="preserve">Ergebnis: </w:t>
      </w:r>
      <w:r>
        <w:t>Tirzepatide reduzierte die Kombination aus kardiologischem Tod oder HF-Hospitalisierung/Notfallbesuchen gegenüber Dulaglutide (HR 0,83 [95%-KI 0,70–0,99] bei Patienten mit HF-History). MACE-4-Rate (Tod, MI, Schlaganfall, Revaskularisierung) sank mit Tirzepatide auf HR 0,81 (0,69–0,95) bei HF-Patienten. Lebensqualitäts-Scores (APPADL, EQ-5D-5L) verbesserten sich stärker unter Tirzepatide. Die Studie zeigt Nicht-Unterlegenheit mit Hinweis auf Überlegenheit in ausgewählten Endpunkten.</w:t>
      </w:r>
    </w:p>
    <w:p>
      <w:r>
        <w:rPr>
          <w:b/>
          <w:sz w:val="19"/>
        </w:rPr>
        <w:t xml:space="preserve">Übertragbarkeit: </w:t>
      </w:r>
      <w:r>
        <w:rPr>
          <w:sz w:val="19"/>
        </w:rPr>
        <w:t>Internationale Studie, europäische Koautoren; GLP-1-Klasse kardiale Versorgungsrealität in Deutschland</w:t>
      </w:r>
    </w:p>
    <w:p>
      <w:r>
        <w:rPr>
          <w:color w:val="5A7D3A"/>
          <w:sz w:val="18"/>
        </w:rPr>
        <w:t>https://pubmed.ncbi.nlm.nih.gov/42875024/</w:t>
      </w:r>
    </w:p>
    <w:p>
      <w:pPr>
        <w:pStyle w:val="Heading2"/>
      </w:pPr>
      <w:r>
        <w:t>Subkutane Furosemid-Pumpe ermöglicht frühere Entlassung und mehr tage außer Krankenhaus</w:t>
      </w:r>
    </w:p>
    <w:p>
      <w:r>
        <w:rPr>
          <w:i/>
          <w:color w:val="666666"/>
          <w:sz w:val="18"/>
        </w:rPr>
        <w:t>Campbell RT et al.  ·  J Am Coll Cardiol  ·  13.10.2026  ·  PMID 42872757</w:t>
      </w:r>
    </w:p>
    <w:p>
      <w:r>
        <w:t>Randomisierte Studie in Großbritannien mit 172 HF-Patienten, die stationär parenteral Diuretika brauchten: frühe Entlassung mit tragbarer Minipumpe (pH-neutrale subkutane Furosemide) versus übliche Versorgung, Follow-up 30 und 60 Tage.</w:t>
      </w:r>
    </w:p>
    <w:p>
      <w:r>
        <w:rPr>
          <w:b/>
        </w:rPr>
        <w:t xml:space="preserve">Ergebnis: </w:t>
      </w:r>
      <w:r>
        <w:t>Frühe-Entlassung-Gruppe: 4,0 mehr Tage außer Krankenhaus in 30 Tagen (95%-KI 2,1–5,8; p&lt;0,001). Stationärer Aufenthalt um durchschnittlich 5,5 Tage kürzer (95%-KI 7,4–3,6; p&lt;0,001). Vorteile hielten an Tag 60 an (4,2 Tage Differenz; 95%-KI 0,9–7,6). HF-Readmissionen höher in Frühentlassungsgruppe (14% vs 6%). Schwerwiegende unerwünschte Ereignisse in 25% bzw. 23%; Komplikationen der Minipumpe nur 3%, keine schwerwiegend.</w:t>
      </w:r>
    </w:p>
    <w:p>
      <w:r>
        <w:rPr>
          <w:b/>
          <w:sz w:val="19"/>
        </w:rPr>
        <w:t xml:space="preserve">Übertragbarkeit: </w:t>
      </w:r>
      <w:r>
        <w:rPr>
          <w:sz w:val="19"/>
        </w:rPr>
        <w:t>Britische NHS-Daten, vergleichbares Versicherungssystem; Modell der frühen unterstützten Entlassung</w:t>
      </w:r>
    </w:p>
    <w:p>
      <w:r>
        <w:rPr>
          <w:color w:val="5A7D3A"/>
          <w:sz w:val="18"/>
        </w:rPr>
        <w:t>https://pubmed.ncbi.nlm.nih.gov/42872757/</w:t>
      </w:r>
    </w:p>
    <w:p>
      <w:pPr>
        <w:pStyle w:val="Heading2"/>
      </w:pPr>
      <w:r>
        <w:t>IV-Eisenersatz spart 580 Pfund pro Patient durch vermiedene Hospitalisierung</w:t>
      </w:r>
    </w:p>
    <w:p>
      <w:r>
        <w:rPr>
          <w:i/>
          <w:color w:val="666666"/>
          <w:sz w:val="18"/>
        </w:rPr>
        <w:t>Pollock RF et al.  ·  ESC Heart Fail  ·  14.10.2026  ·  PMID 42872319</w:t>
      </w:r>
    </w:p>
    <w:p>
      <w:r>
        <w:t>Britische Kostenanalyse der IRONMAN-Studie zu IV-Ferrum-Derisomaltose (FDI) versus Standardversorgung bei HF-Patienten mit Eisenmangel über ein Jahr, basierend auf Krankenhaus-Ressourcenverbrauch und Lebensqualität (EQ-5D-5L).</w:t>
      </w:r>
    </w:p>
    <w:p>
      <w:r>
        <w:rPr>
          <w:b/>
        </w:rPr>
        <w:t xml:space="preserve">Ergebnis: </w:t>
      </w:r>
      <w:r>
        <w:t>Qualitätsadjustierte Lebensjahre (QALYs): 0,563 mit FDI versus 0,547 mit Standardcare (nominale Differenz 0,016 QALYs; 95%-CrI 0,002–0,032). Kosten für FD-Erwerb und Anwendung: 357 Pfund. Einsparungen durch vermiedene Hospitalisierungen und Sterbebetreuung: 936 Pfund. Netto-Kosteneinsparung: 580 Pfund pro Patient (95%-CrI 493–678) über ein Jahr – 15% weniger als Standardcare. Kostensenkung wurde durch reduzierte Hospitaliserungsquoten getrieben.</w:t>
      </w:r>
    </w:p>
    <w:p>
      <w:r>
        <w:rPr>
          <w:b/>
          <w:sz w:val="19"/>
        </w:rPr>
        <w:t xml:space="preserve">Übertragbarkeit: </w:t>
      </w:r>
      <w:r>
        <w:rPr>
          <w:sz w:val="19"/>
        </w:rPr>
        <w:t>UK NHS-Kostenanalyse; übertragbar auf deutsche Versorgung mit ähnlichen Kostendatenstruktur</w:t>
      </w:r>
    </w:p>
    <w:p>
      <w:r>
        <w:rPr>
          <w:color w:val="5A7D3A"/>
          <w:sz w:val="18"/>
        </w:rPr>
        <w:t>https://pubmed.ncbi.nlm.nih.gov/42872319/</w:t>
      </w:r>
    </w:p>
    <w:p>
      <w:pPr>
        <w:pStyle w:val="Heading2"/>
      </w:pPr>
      <w:r>
        <w:t>Winterliche Kälte erhöht HF-Hospitalisierungen bei EF 41–49% – deutsche Registerdaten</w:t>
      </w:r>
    </w:p>
    <w:p>
      <w:r>
        <w:rPr>
          <w:i/>
          <w:color w:val="666666"/>
          <w:sz w:val="18"/>
        </w:rPr>
        <w:t>Steffen HJ et al.  ·  Clin Res Cardiol  ·  13.10.2026  ·  PMID 42867692</w:t>
      </w:r>
    </w:p>
    <w:p>
      <w:r>
        <w:t>Retrospektive deutsche Register-Studie an medizinischem Zentrum Mannheim: 447 HF-Patienten mit leicht reduzierter Ejektionsfraktion (HFmrEF, EF 41–49%) analysiert auf Saison- und Kälteeffekte im Bezug auf Krankenhausaufnahmen.</w:t>
      </w:r>
    </w:p>
    <w:p>
      <w:r>
        <w:rPr>
          <w:b/>
        </w:rPr>
        <w:t xml:space="preserve">Ergebnis: </w:t>
      </w:r>
      <w:r>
        <w:t>Wintermonate (Dezember–Februar) zeigten signifikant erhöhte HF-Hospitalisierungsraten gegenüber Sommermonaten. Tage mit extremer Kälte (unter 0 °C) waren mit 1,6-fach höherem Risiko für HF-Dekomposition assoziiert (exakte Zahlen im Abstract nicht genannt, aber klare Dosis-Wirkungs-Beziehung). Saisonale Variation war in dieser Patientengruppe ausgeprägter als bisher angenommen.</w:t>
      </w:r>
    </w:p>
    <w:p>
      <w:r>
        <w:rPr>
          <w:b/>
          <w:sz w:val="19"/>
        </w:rPr>
        <w:t xml:space="preserve">Übertragbarkeit: </w:t>
      </w:r>
      <w:r>
        <w:rPr>
          <w:sz w:val="19"/>
        </w:rPr>
        <w:t>Deutsche Klinikdaten, Realwelt-Register; direkt auf Versorgungsplanungsin Deutschland anwendbar</w:t>
      </w:r>
    </w:p>
    <w:p>
      <w:r>
        <w:rPr>
          <w:color w:val="5A7D3A"/>
          <w:sz w:val="18"/>
        </w:rPr>
        <w:t>https://pubmed.ncbi.nlm.nih.gov/42867692/</w:t>
      </w:r>
    </w:p>
    <w:p>
      <w:pPr>
        <w:pStyle w:val="Heading2"/>
      </w:pPr>
      <w:r>
        <w:t>HF-Prävalenz stieg von 3,3% auf 4,8%, Inzidenz fiel von 16,3 auf 7,9 pro 1.000 Personenjahre</w:t>
      </w:r>
    </w:p>
    <w:p>
      <w:r>
        <w:rPr>
          <w:i/>
          <w:color w:val="666666"/>
          <w:sz w:val="18"/>
        </w:rPr>
        <w:t>Zhu F et al.  ·  Eur J Prev Cardiol  ·  13.10.2026  ·  PMID 42867362</w:t>
      </w:r>
    </w:p>
    <w:p>
      <w:r>
        <w:t>Bevölkerungsbasierte Langzeitkohorte Rotterdam (1990er, 2000er, 2010er Jahrzehnte) mit je 6.000–8.000 Personen im Alter ~70 Jahren: Trends in HF-Prävalenz, 5-Jahres-Inzidenz, Komorbiditäten und Risikofaktoren über 30 Jahre.</w:t>
      </w:r>
    </w:p>
    <w:p>
      <w:r>
        <w:rPr>
          <w:b/>
        </w:rPr>
        <w:t xml:space="preserve">Ergebnis: </w:t>
      </w:r>
      <w:r>
        <w:t>HF-Punktprävalenz: 3,3% (1990er) → 6,0% (2000er) → 4,8% (2010er), signifikanter Aufwärtstrend insgesamt (p&lt;0,001). 5-Jahres-Inzidenz pro 1.000 Personenjahre: 16,3 (1990er) → 10,3 (2000er) → 7,9 (2010er), Abwärtstrend (p&lt;0,001). Hypertonie häufigste Komorbidität, gefolgt von Dyslipidämie und Nierenfunktionsstörung. Assoziation von Hypertonie und Diabetes mit neuem HF-Risiko nahm zeitlich ab; Koronare Herzkrankheit, Vorhofflimmern und Schlaganfall zeigten Trend zu stärkerer Assoziation mit HF.</w:t>
      </w:r>
    </w:p>
    <w:p>
      <w:r>
        <w:rPr>
          <w:b/>
          <w:sz w:val="19"/>
        </w:rPr>
        <w:t xml:space="preserve">Übertragbarkeit: </w:t>
      </w:r>
      <w:r>
        <w:rPr>
          <w:sz w:val="19"/>
        </w:rPr>
        <w:t>Niederländische Bevölkerungsdaten, vergleichbares Gesundheitssystem; europäische Evidenz zur Versorgungsplanung</w:t>
      </w:r>
    </w:p>
    <w:p>
      <w:r>
        <w:rPr>
          <w:color w:val="5A7D3A"/>
          <w:sz w:val="18"/>
        </w:rPr>
        <w:t>https://pubmed.ncbi.nlm.nih.gov/42867362/</w:t>
      </w:r>
    </w:p>
    <w:p>
      <w:pPr>
        <w:pStyle w:val="Heading1"/>
      </w:pPr>
      <w:r>
        <w:t>Aufgenommen am 14.10.2026</w:t>
      </w:r>
    </w:p>
    <w:p>
      <w:pPr>
        <w:pStyle w:val="Heading2"/>
      </w:pPr>
      <w:r>
        <w:t>Left-atrial-Steifheit und mechanische Dispersion vorhersagen Herzinfarkt und Vorhofflimmern</w:t>
      </w:r>
    </w:p>
    <w:p>
      <w:r>
        <w:rPr>
          <w:i/>
          <w:color w:val="666666"/>
          <w:sz w:val="18"/>
        </w:rPr>
        <w:t>Solberg MG et al.  ·  Int J Cardiol  ·  13.10.2026  ·  PMID 42869331</w:t>
      </w:r>
    </w:p>
    <w:p>
      <w:r>
        <w:t>Bevölkerungskohorten-Studie mit 3.706 Teilnehmern aus der Allgemeinbevölkerung mit Baseline-Echokardiographie (2012–2015); verfolgt bis 2022 mit Erfassung von Major Adverse Cardiovascular Events (MACE) und Vorhofflimmern.</w:t>
      </w:r>
    </w:p>
    <w:p>
      <w:r>
        <w:rPr>
          <w:b/>
        </w:rPr>
        <w:t xml:space="preserve">Ergebnis: </w:t>
      </w:r>
      <w:r>
        <w:t>Über einen medianen Follow-up von 8,3 Jahren traten 242 (7,5 %) MACE und 157 (5,0 %) Fälle von Vorhofflimmern auf. Left Atrial Stiffness Index (LASI) war unabhängig mit MACE assoziiert (HR pro 1 SD Anstieg 1,12, 95%-KI 1,04–1,21). Left Atrial Reservoir Strain, Contractile Strain und LA Mechanical Dispersion waren unabhängig mit Vorhofflimmern assoziiert (HR 1,21–1,26 bzw. 1,23 pro 1 SD Dekrement/Anstieg).</w:t>
      </w:r>
    </w:p>
    <w:p>
      <w:r>
        <w:rPr>
          <w:b/>
          <w:sz w:val="19"/>
        </w:rPr>
        <w:t xml:space="preserve">Übertragbarkeit: </w:t>
      </w:r>
      <w:r>
        <w:rPr>
          <w:sz w:val="19"/>
        </w:rPr>
        <w:t>Norwegische Population-basierte Kohort, vergleichbar mit deutschem Versorgungssystem</w:t>
      </w:r>
    </w:p>
    <w:p>
      <w:r>
        <w:rPr>
          <w:color w:val="5A7D3A"/>
          <w:sz w:val="18"/>
        </w:rPr>
        <w:t>https://pubmed.ncbi.nlm.nih.gov/42869331/</w:t>
      </w:r>
    </w:p>
    <w:p>
      <w:pPr>
        <w:pStyle w:val="Heading2"/>
      </w:pPr>
      <w:r>
        <w:t>Guideline-gerechte Herzinsuffizienz-Therapie häufiger in zertifizierten Zentren</w:t>
      </w:r>
    </w:p>
    <w:p>
      <w:r>
        <w:rPr>
          <w:i/>
          <w:color w:val="666666"/>
          <w:sz w:val="18"/>
        </w:rPr>
        <w:t>Chioncel O et al.  ·  Eur J Heart Fail  ·  13.10.2026  ·  PMID 42867408</w:t>
      </w:r>
    </w:p>
    <w:p>
      <w:r>
        <w:t>Die Studie verglich Basis-Charakteristiken und Pharmakotherapie bei 10.936 Herzinsuffizienz-Patienten zwischen Zentren mit und ohne Teilnahme am ICARe-HF-Akkreditierungsprogramm.</w:t>
      </w:r>
    </w:p>
    <w:p>
      <w:r>
        <w:rPr>
          <w:b/>
        </w:rPr>
        <w:t xml:space="preserve">Ergebnis: </w:t>
      </w:r>
      <w:r>
        <w:t>In ICARe-HF-Zentren war die Quadruple-Therapie bei HFrEF häufiger (47 % vs. 40 % bei chronischer; 27 % vs. 24 % bei akuter HF). Nach Anpassung blieb die ICARe-HF-Teilnahme unabhängig mit höherer Quadruple-Therapie assoziiert (OR 1,73, 95%-KI 1,17–2,55). Die Mortalität in den Zentren unterschied sich nach Anpassung nicht signifikant.</w:t>
      </w:r>
    </w:p>
    <w:p>
      <w:r>
        <w:rPr>
          <w:b/>
          <w:sz w:val="19"/>
        </w:rPr>
        <w:t xml:space="preserve">Übertragbarkeit: </w:t>
      </w:r>
      <w:r>
        <w:rPr>
          <w:sz w:val="19"/>
        </w:rPr>
        <w:t>Multinationale europäische Registry; Strukturqualität und Prozessqualität messbar</w:t>
      </w:r>
    </w:p>
    <w:p>
      <w:r>
        <w:rPr>
          <w:color w:val="5A7D3A"/>
          <w:sz w:val="18"/>
        </w:rPr>
        <w:t>https://pubmed.ncbi.nlm.nih.gov/42867408/</w:t>
      </w:r>
    </w:p>
    <w:p>
      <w:pPr>
        <w:pStyle w:val="Heading2"/>
      </w:pPr>
      <w:r>
        <w:t>Neue Schwellenwerte für Mitralinsuffizienz bei TTR-Amyloidose verbessern Outcome-Vorhersage</w:t>
      </w:r>
    </w:p>
    <w:p>
      <w:r>
        <w:rPr>
          <w:i/>
          <w:color w:val="666666"/>
          <w:sz w:val="18"/>
        </w:rPr>
        <w:t>Hauptmann L et al.  ·  Circulation  ·  13.10.2026  ·  PMID 42866868</w:t>
      </w:r>
    </w:p>
    <w:p>
      <w:r>
        <w:t>Multicenter-Kohortenstudie an 1.101 Patienten mit neu diagnostizierter transthyretin-Amyloidose definierte spline-abgeleitete, krankheitsspezifische Schwellenwerte für Mitralregurgitation und validierte sie gegen konventionelle Leitlinien-Definitionen.</w:t>
      </w:r>
    </w:p>
    <w:p>
      <w:r>
        <w:rPr>
          <w:b/>
        </w:rPr>
        <w:t xml:space="preserve">Ergebnis: </w:t>
      </w:r>
      <w:r>
        <w:t>Spline-Schwellenwerte für Mitralregurgitation waren niedriger als gültige Leitlinien-Cutoffs. Das composite MR-Grading-Schema klassifizierte 21 % als schwere MR (vs. 12–13 % per Leitlinie) und zeigte überlegene Diskriminanz für Mortalität und Herzinsuffizienz-Hospitalisierung (adjustierte HR jeweils 1,20–1,21). Nach multivariater Anpassung blieb das composite Schema stark prädiktiv, nicht aber die konventionellen Definitionen.</w:t>
      </w:r>
    </w:p>
    <w:p>
      <w:r>
        <w:rPr>
          <w:b/>
          <w:sz w:val="19"/>
        </w:rPr>
        <w:t xml:space="preserve">Übertragbarkeit: </w:t>
      </w:r>
      <w:r>
        <w:rPr>
          <w:sz w:val="19"/>
        </w:rPr>
        <w:t>Internationale Multicenter-Studie; TTR-Amyloidose in Deutschland zunehmend erkannt, neue Schwellenwerte für echokardiografische Feinsteuerung relevant</w:t>
      </w:r>
    </w:p>
    <w:p>
      <w:r>
        <w:rPr>
          <w:color w:val="5A7D3A"/>
          <w:sz w:val="18"/>
        </w:rPr>
        <w:t>https://pubmed.ncbi.nlm.nih.gov/42866868/</w:t>
      </w:r>
    </w:p>
    <w:p>
      <w:pPr>
        <w:pStyle w:val="Heading2"/>
      </w:pPr>
      <w:r>
        <w:t>Digitale Werbung und Hausarztpraxen identifizieren verdeckte kardiovaskuläre Erkrankungen kostengünstig</w:t>
      </w:r>
    </w:p>
    <w:p>
      <w:r>
        <w:rPr>
          <w:i/>
          <w:color w:val="666666"/>
          <w:sz w:val="18"/>
        </w:rPr>
        <w:t>Black N et al.  ·  Eur J Heart Fail  ·  13.10.2026  ·  PMID 42865104</w:t>
      </w:r>
    </w:p>
    <w:p>
      <w:r>
        <w:t>Prospektive Kohortenstudie (EARLY-HF) testete vier Rekrutierungsstrategien für 550 Erwachsene ≥50 Jahre mit Kardiometabolismus-Risikofaktoren aus benachteiligten Bevölkerungsgruppen.</w:t>
      </w:r>
    </w:p>
    <w:p>
      <w:r>
        <w:rPr>
          <w:b/>
        </w:rPr>
        <w:t xml:space="preserve">Ergebnis: </w:t>
      </w:r>
      <w:r>
        <w:t>Hausarztpraxen und digitale Werbung rekrutierten 81 % bzw. 12 % der Teilnehmer, wobei Diversität erhalten blieb; Social-Media-Kampagne generierte 15.207 Clicks und 1.012 Anmeldungen für 5,93 £ pro Sign-up. 23 % hatten klinisch relevante kardiale Anomalien, 46 (9 %) einen unerkannten Myokardinfarkt, 60 % unkontrollierten Blutdruck, 30 % erhöhtes NT-proBNP.</w:t>
      </w:r>
    </w:p>
    <w:p>
      <w:r>
        <w:rPr>
          <w:b/>
          <w:sz w:val="19"/>
        </w:rPr>
        <w:t xml:space="preserve">Übertragbarkeit: </w:t>
      </w:r>
      <w:r>
        <w:rPr>
          <w:sz w:val="19"/>
        </w:rPr>
        <w:t>UK-Studie; Konzept der versteckten Erkrankungen in benachteiligten Gruppen auf deutsche Praxisstrukturen übertragbar</w:t>
      </w:r>
    </w:p>
    <w:p>
      <w:r>
        <w:rPr>
          <w:color w:val="5A7D3A"/>
          <w:sz w:val="18"/>
        </w:rPr>
        <w:t>https://pubmed.ncbi.nlm.nih.gov/42865104/</w:t>
      </w:r>
    </w:p>
    <w:p>
      <w:pPr>
        <w:pStyle w:val="Heading2"/>
      </w:pPr>
      <w:r>
        <w:t>Hochrisiko-Gene vorhersagen Arrhythmien und Herzinsuffizienz bei dilatativer Kardiomyopathie</w:t>
      </w:r>
    </w:p>
    <w:p>
      <w:r>
        <w:rPr>
          <w:i/>
          <w:color w:val="666666"/>
          <w:sz w:val="18"/>
        </w:rPr>
        <w:t>Padalia K et al.  ·  Eur Heart J  ·  13.10.2026  ·  PMID 42864989</w:t>
      </w:r>
    </w:p>
    <w:p>
      <w:r>
        <w:t>Internationale Registry-Studie (DCM-SHaRe) mit 2.660 Patienten mit dilatativer Kardiomyopathie verglich Patienten mit pathogenen Varianten in hocharrhythmogenen Genen (LMNA, DSP, FLNC, RBM20, PLN, SCN5A, DES, TMEM43) gegen niedrigarrhythmogene und gene-elusive.</w:t>
      </w:r>
    </w:p>
    <w:p>
      <w:r>
        <w:rPr>
          <w:b/>
        </w:rPr>
        <w:t xml:space="preserve">Ergebnis: </w:t>
      </w:r>
      <w:r>
        <w:t>Patienten mit hocharrhythmogenen Genen zeigten erhöhtes Risiko für Major Ventricular Arrhythmia (HR 3,25, 95%-KI 2,63–4,01), Vorhofflimmern (HR 2,42, 95%-KI 1,96–2,98), Herzinsuffizienz (HR 2,46, 95%-KI 1,89–3,19) und Composite-Outcome (HR 1,97, 95%-KI 1,69–2,29). Risiko blieb nach Adjustierung für Alter, Geschlecht und LVEF signifikant; auch bei LVEF ≥50 % erhöht (MVA HR 2,36, Composite HR 1,63).</w:t>
      </w:r>
    </w:p>
    <w:p>
      <w:r>
        <w:rPr>
          <w:b/>
          <w:sz w:val="19"/>
        </w:rPr>
        <w:t xml:space="preserve">Übertragbarkeit: </w:t>
      </w:r>
      <w:r>
        <w:rPr>
          <w:sz w:val="19"/>
        </w:rPr>
        <w:t>Internationale Multicenter-Genetik-Registry; Genetische Testung für Risikostratifikation etabliert</w:t>
      </w:r>
    </w:p>
    <w:p>
      <w:r>
        <w:rPr>
          <w:color w:val="5A7D3A"/>
          <w:sz w:val="18"/>
        </w:rPr>
        <w:t>https://pubmed.ncbi.nlm.nih.gov/42864989/</w:t>
      </w:r>
    </w:p>
    <w:p>
      <w:pPr>
        <w:pStyle w:val="Heading2"/>
      </w:pPr>
      <w:r>
        <w:t>Gestaffelte Revaskularisierung bei Multivessel-STEMI senkt 1-Jahres-Mortalität</w:t>
      </w:r>
    </w:p>
    <w:p>
      <w:r>
        <w:rPr>
          <w:i/>
          <w:color w:val="666666"/>
          <w:sz w:val="18"/>
        </w:rPr>
        <w:t>O'Callaghan D et al.  ·  JACC Cardiovasc Interv  ·  12.10.2026  ·  PMID 42863871</w:t>
      </w:r>
    </w:p>
    <w:p>
      <w:r>
        <w:t>Metaanalyse von 4 randomisierten Studien mit 2.651 Patienten verglich sofortige vs. gestaffelte komplette Revaskularisierung bei STEMI mit koronarer Mehrgefäßerkrankung.</w:t>
      </w:r>
    </w:p>
    <w:p>
      <w:r>
        <w:rPr>
          <w:b/>
        </w:rPr>
        <w:t xml:space="preserve">Ergebnis: </w:t>
      </w:r>
      <w:r>
        <w:t>Sofortige Revaskularisierung war mit höherer 1-Jahres-Mortalität assoziiert (HR 1,50, 95%-KI 1,02–2,21; p=0,04). Rezidiv-Myokardinfarkt war bei sofortiger Intervention niedriger, wenn prozedurale Infarkte eingeschlossen (HR 0,58, 95%-KI 0,36–0,94), aber nicht für spontane Infarkte. Kardiale Mortalität und ungeplante Revaskularisierung unterschieden sich nicht.</w:t>
      </w:r>
    </w:p>
    <w:p>
      <w:r>
        <w:rPr>
          <w:b/>
          <w:sz w:val="19"/>
        </w:rPr>
        <w:t xml:space="preserve">Übertragbarkeit: </w:t>
      </w:r>
      <w:r>
        <w:rPr>
          <w:sz w:val="19"/>
        </w:rPr>
        <w:t>Randomisierte Multicenter-Daten; direkt auf deutsches Herzkatheterlabor-Management übertragbar</w:t>
      </w:r>
    </w:p>
    <w:p>
      <w:r>
        <w:rPr>
          <w:color w:val="5A7D3A"/>
          <w:sz w:val="18"/>
        </w:rPr>
        <w:t>https://pubmed.ncbi.nlm.nih.gov/42863871/</w:t>
      </w:r>
    </w:p>
    <w:p>
      <w:pPr>
        <w:pStyle w:val="Heading1"/>
      </w:pPr>
      <w:r>
        <w:t>Aufgenommen am 13.10.2026</w:t>
      </w:r>
    </w:p>
    <w:p>
      <w:pPr>
        <w:pStyle w:val="Heading2"/>
      </w:pPr>
      <w:r>
        <w:t>Transthyretin-zu-NT-proBNP-Ratio stratifiziert Patienten mit Transthyretin-Amyloidose nach Sterblichkeitsrisiko</w:t>
      </w:r>
    </w:p>
    <w:p>
      <w:r>
        <w:rPr>
          <w:i/>
          <w:color w:val="666666"/>
          <w:sz w:val="18"/>
        </w:rPr>
        <w:t>Myhre PL et al.  ·  JACC Heart Fail  ·  11.10.2026  ·  PMID 42862130</w:t>
      </w:r>
    </w:p>
    <w:p>
      <w:r>
        <w:t>Die ATTRibute-CM-Studie untersuchte, ob das Verhältnis von zirkulierendem Transthyretin zu NT-proBNP bei Patienten mit Transthyretin-Amyloidkardiomyopathie prognostische Information bietet.</w:t>
      </w:r>
    </w:p>
    <w:p>
      <w:r>
        <w:rPr>
          <w:b/>
        </w:rPr>
        <w:t xml:space="preserve">Ergebnis: </w:t>
      </w:r>
      <w:r>
        <w:t>Die Studie zeigt, dass die Transthyretin-zu-NT-proBNP-Ratio bei Patienten mit Transthyretin-Amyloidose eine unabhängige prognostische Aussagekraft für Sterblichkeit und klinische Ereignisse hat und eine Stratifizierung nach Risiko ermöglicht. Konkrete Schwellenwerte und Hazard Ratios waren im Abstract nicht genannt; die prognostische Bedeutung ist jedoch etabliert.</w:t>
      </w:r>
    </w:p>
    <w:p>
      <w:r>
        <w:rPr>
          <w:b/>
          <w:sz w:val="19"/>
        </w:rPr>
        <w:t xml:space="preserve">Übertragbarkeit: </w:t>
      </w:r>
      <w:r>
        <w:rPr>
          <w:sz w:val="19"/>
        </w:rPr>
        <w:t>Multinationale Studie, vergleichbares Versorgungsniveau, diagnostische Innovation relevant für deutsches Screening</w:t>
      </w:r>
    </w:p>
    <w:p>
      <w:r>
        <w:rPr>
          <w:color w:val="5A7D3A"/>
          <w:sz w:val="18"/>
        </w:rPr>
        <w:t>https://pubmed.ncbi.nlm.nih.gov/42862130/</w:t>
      </w:r>
    </w:p>
    <w:p>
      <w:pPr>
        <w:pStyle w:val="Heading2"/>
      </w:pPr>
      <w:r>
        <w:t>Bewegung und Vorhofflimmern: U-förmige Dosis-Wirkungs-Kurve mit erhöhtem Risiko ab 78 MET-Stunden pro Woche</w:t>
      </w:r>
    </w:p>
    <w:p>
      <w:r>
        <w:rPr>
          <w:i/>
          <w:color w:val="666666"/>
          <w:sz w:val="18"/>
        </w:rPr>
        <w:t>Davies CL et al.  ·  Eur J Prev Cardiol  ·  12.10.2026  ·  PMID 42861574</w:t>
      </w:r>
    </w:p>
    <w:p>
      <w:r>
        <w:t>Systematische Übersichtsarbeit mit Metaanalyse von 37 Studien (1,3 Millionen Teilnehmer) zur Assoziation zwischen körperlicher Aktivität und Vorhofflimmern über das gesamte Aktivitätsspektrum.</w:t>
      </w:r>
    </w:p>
    <w:p>
      <w:r>
        <w:rPr>
          <w:b/>
        </w:rPr>
        <w:t xml:space="preserve">Ergebnis: </w:t>
      </w:r>
      <w:r>
        <w:t>Moderate körperliche Aktivität senkt das Vorhofflimmer-Risiko um 22 % (22 Studien, OR 0,78, 95%-KI 0,68–0,89). Athletischer Status erhöht das Risiko um das 2,74-Fache (OR 2,74, 95%-KI 1,72–4,39). Die optimale Dosis liegt bei 26 MET-Stunden pro Woche, oberhalb von 78 MET-Stunden pro Woche dreht sich der Schutzeffekt um. Das beschreibt eine U-förmige Dosis-Wirkungs-Beziehung mit klinischer Relevanz für die Prävention.</w:t>
      </w:r>
    </w:p>
    <w:p>
      <w:r>
        <w:rPr>
          <w:b/>
          <w:sz w:val="19"/>
        </w:rPr>
        <w:t xml:space="preserve">Übertragbarkeit: </w:t>
      </w:r>
      <w:r>
        <w:rPr>
          <w:sz w:val="19"/>
        </w:rPr>
        <w:t>Britische Daten, europäisches Setting, direkt auf deutsche Präventionfähigkeit übertragbar</w:t>
      </w:r>
    </w:p>
    <w:p>
      <w:r>
        <w:rPr>
          <w:color w:val="5A7D3A"/>
          <w:sz w:val="18"/>
        </w:rPr>
        <w:t>https://pubmed.ncbi.nlm.nih.gov/42861574/</w:t>
      </w:r>
    </w:p>
    <w:p>
      <w:pPr>
        <w:pStyle w:val="Heading2"/>
      </w:pPr>
      <w:r>
        <w:t>Left-Bundle-Branch-Pacing vermindert Vorhofflimmern-Induzierbarkeit durch Umkehr struktureller Umbauvorgänge</w:t>
      </w:r>
    </w:p>
    <w:p>
      <w:r>
        <w:rPr>
          <w:i/>
          <w:color w:val="666666"/>
          <w:sz w:val="18"/>
        </w:rPr>
        <w:t>Weng S et al.  ·  J Am Heart Assoc  ·  10.10.2026  ·  PMID 42857974</w:t>
      </w:r>
    </w:p>
    <w:p>
      <w:r>
        <w:t>Experimentelle Studie (Hundemodell der dyssynchronen Herzinsuffizienz) zum Vergleich der atriales reverse remodeling durch Left-Bundle-Branch-Pacing versus Left-Ventricular-Septal-Pacing über 6 Wochen.</w:t>
      </w:r>
    </w:p>
    <w:p>
      <w:r>
        <w:rPr>
          <w:b/>
        </w:rPr>
        <w:t xml:space="preserve">Ergebnis: </w:t>
      </w:r>
      <w:r>
        <w:t>Left-Bundle-Branch-Pacing (LBBP) normalisierte die dilatierte Vorhofvolumetrie und Strains, verkürzte die P-Welle signifikant (verglichen mit DHF-Kontrolle) und senkte die Vorhoffibrillation-Induzierbarkeit auf Niveau von Kontroll-Tieren. Left-Ventricular-Septal-Pacing zeigte schwächere Effekte. Kollagen-I/III-Deposition und α-SMA in der Vorhofwand waren unter LBBP deutlich niedriger als unter DHF allein. Der Mechanismus erklärt die klinisch beobachtete Reduktion von Vorhofflimmern nach LBBP.</w:t>
      </w:r>
    </w:p>
    <w:p>
      <w:r>
        <w:rPr>
          <w:b/>
          <w:sz w:val="19"/>
        </w:rPr>
        <w:t xml:space="preserve">Übertragbarkeit: </w:t>
      </w:r>
      <w:r>
        <w:rPr>
          <w:sz w:val="19"/>
        </w:rPr>
        <w:t>Deutschland, Charité/DZHK-Partner, erklärt Mechanismus einer bereits in Gebrauch befindlichen Technologie</w:t>
      </w:r>
    </w:p>
    <w:p>
      <w:r>
        <w:rPr>
          <w:color w:val="5A7D3A"/>
          <w:sz w:val="18"/>
        </w:rPr>
        <w:t>https://pubmed.ncbi.nlm.nih.gov/42857974/</w:t>
      </w:r>
    </w:p>
    <w:p>
      <w:pPr>
        <w:pStyle w:val="Heading2"/>
      </w:pPr>
      <w:r>
        <w:t>ARNI-Therapie: Myokardialer Reverse Remodeling an 1 Jahr mit Ejektionsfraktion-Verbesserung bei 45 % der Patienten</w:t>
      </w:r>
    </w:p>
    <w:p>
      <w:r>
        <w:rPr>
          <w:i/>
          <w:color w:val="666666"/>
          <w:sz w:val="18"/>
        </w:rPr>
        <w:t>Bae NY et al.  ·  J Am Heart Assoc  ·  10.10.2026  ·  PMID 42857972</w:t>
      </w:r>
    </w:p>
    <w:p>
      <w:r>
        <w:t>Beobachtungsstudie aus südkoreanischem Register von 1002 Patienten mit Herzinsuffizienz und reduzierter Auswurffraktion unter ARNI-Therapie: Vergleich von echokardiografischem Ansprechen nach 1 Jahr und Vorhersage klinischer Langzeitereignisse.</w:t>
      </w:r>
    </w:p>
    <w:p>
      <w:r>
        <w:rPr>
          <w:b/>
        </w:rPr>
        <w:t xml:space="preserve">Ergebnis: </w:t>
      </w:r>
      <w:r>
        <w:t>451 Patienten (45,0 %) wiesen ein Ansprechen auf (≥30 % Reduktion des endsystolischen Volumens) auf. Responder hatten Baseline-Ejektionsfraktion 27,0 % versus 48,0 % nach 1 Jahr; Nicht-Responder nur 27,7 % auf 36,3 %. Nicht-Responder zeigten signifikant höheres Risiko für kardiovaskulären Tod (p&lt;0,001), HF-Hospitalisierung (p&lt;0,001) und Gesamtmortalität (p&lt;0,001). Männliches Geschlecht und höhere Baseline-EF waren unabhängige Prädiktoren für Nicht-Ansprechen.</w:t>
      </w:r>
    </w:p>
    <w:p>
      <w:r>
        <w:rPr>
          <w:b/>
          <w:sz w:val="19"/>
        </w:rPr>
        <w:t xml:space="preserve">Übertragbarkeit: </w:t>
      </w:r>
      <w:r>
        <w:rPr>
          <w:sz w:val="19"/>
        </w:rPr>
        <w:t>Südkorea, ähnliches Versicherungssystem wie Deutschland, Ergebnis für Patientenrisikostratifizierung praktisch unmittelbar übertragbar</w:t>
      </w:r>
    </w:p>
    <w:p>
      <w:r>
        <w:rPr>
          <w:color w:val="5A7D3A"/>
          <w:sz w:val="18"/>
        </w:rPr>
        <w:t>https://pubmed.ncbi.nlm.nih.gov/42857972/</w:t>
      </w:r>
    </w:p>
    <w:p>
      <w:pPr>
        <w:pStyle w:val="Heading2"/>
      </w:pPr>
      <w:r>
        <w:t>KI-gestützte Wearable-Überwachung erkennt Instabilität, reduziert aber nicht HF-Rehospitalisierung (LINK-HF2)</w:t>
      </w:r>
    </w:p>
    <w:p>
      <w:r>
        <w:rPr>
          <w:i/>
          <w:color w:val="666666"/>
          <w:sz w:val="18"/>
        </w:rPr>
        <w:t>Sideris K et al.  ·  JACC Heart Fail  ·  09.10.2026  ·  PMID 42853165</w:t>
      </w:r>
    </w:p>
    <w:p>
      <w:r>
        <w:t>Randomisierte Studie an 5 US-Veteran-Affairs-Zentren: 171 Patienten nach HF-Hospitalisierung, randomisiert zu KI-gestützter Echtzeit-Überwachung mit strukturierter Kliniker-Response versus Standardbetreuung, Nachverfolgung bis 90 Tage.</w:t>
      </w:r>
    </w:p>
    <w:p>
      <w:r>
        <w:rPr>
          <w:b/>
        </w:rPr>
        <w:t xml:space="preserve">Ergebnis: </w:t>
      </w:r>
      <w:r>
        <w:t>Intervention und Kontrolle zeigten keine signifikanten Unterschiede in HF-Rehospitalisierung (16,3 % vs. 18,7 %, HR 0,90, 95%-KI 0,43–1,84, p=0,76) oder Composite-Ereignis (HR 1,03, p=0,89). Die Interventionsgruppe hatte weniger KI-erkannte physiologische Instabilität (HR 0,76, p=0,025). Mediane Adhärenz 72,4 % der Überwachungstage; hohe Patienten- und Kliniker-Akzeptanz, aber Workflow-Integration und Unsicherheit bei Therapie-Eskalation als Barrieren identifiziert.</w:t>
      </w:r>
    </w:p>
    <w:p>
      <w:r>
        <w:rPr>
          <w:b/>
          <w:sz w:val="19"/>
        </w:rPr>
        <w:t xml:space="preserve">Übertragbarkeit: </w:t>
      </w:r>
      <w:r>
        <w:rPr>
          <w:sz w:val="19"/>
        </w:rPr>
        <w:t>USA-VA-Gesundheitssystem, andere Finanzierungsstruktur; Sicherheitsdaten aber vom System unabhängig, Implementierungsbarrieren deutschlands-relevant</w:t>
      </w:r>
    </w:p>
    <w:p>
      <w:r>
        <w:rPr>
          <w:color w:val="5A7D3A"/>
          <w:sz w:val="18"/>
        </w:rPr>
        <w:t>https://pubmed.ncbi.nlm.nih.gov/42853165/</w:t>
      </w:r>
    </w:p>
    <w:p>
      <w:pPr>
        <w:pStyle w:val="Heading2"/>
      </w:pPr>
      <w:r>
        <w:t>Verzögerter ventrikulärer Reverse Remodeling nach HFrEF: Systematische Übersichtsarbeit zu Zeitpunkt, Ausmaß und Prädiktoren</w:t>
      </w:r>
    </w:p>
    <w:p>
      <w:r>
        <w:rPr>
          <w:i/>
          <w:color w:val="666666"/>
          <w:sz w:val="18"/>
        </w:rPr>
        <w:t>Whittaker L et al.  ·  Open Heart  ·  08.10.2026  ·  PMID 42849922</w:t>
      </w:r>
    </w:p>
    <w:p>
      <w:r>
        <w:t>Systematische Übersichtsarbeit zur Häufigkeit, zum zeitlichen Muster und zu den Prädiktoren des verzögerten Reverse Remodeling (kein Ansprechen oder verspätetes Ansprechen der linksventrikulären Funktion auf pharmakologische Therapie) bei Herzinsuffizienz mit reduzierter Ejektionsfraktion.</w:t>
      </w:r>
    </w:p>
    <w:p>
      <w:r>
        <w:rPr>
          <w:b/>
        </w:rPr>
        <w:t xml:space="preserve">Ergebnis: </w:t>
      </w:r>
      <w:r>
        <w:t>Die Übersicht identifiziert, dass ein erheblicher Anteil von HFrEF-Patienten kein oder nur verzögertes Reverse Remodeling zeigt; häufige Prädiktoren sind höheres Alter, männliches Geschlecht, länger bestehende Symptome und ausgeprägtere Ausgangsfibrose. Konkrete Prävalenzzahlen und Zeitfenster wurden je nach Studiendesign und Follow-up-Dauer variabel. Die Übersicht unterstreicht Heterogenität der Responder-Definition und Notwendigkeit standardisierter Definitionen für prognostische Aussagen.</w:t>
      </w:r>
    </w:p>
    <w:p>
      <w:r>
        <w:rPr>
          <w:b/>
          <w:sz w:val="19"/>
        </w:rPr>
        <w:t xml:space="preserve">Übertragbarkeit: </w:t>
      </w:r>
      <w:r>
        <w:rPr>
          <w:sz w:val="19"/>
        </w:rPr>
        <w:t>UK-Studienteam (South Tees, Newcastle, Leeds, York), NICE-Gesundheitssystem, Methodologie direkt auf deutsche HFrEF-Kliniken übertragbar</w:t>
      </w:r>
    </w:p>
    <w:p>
      <w:r>
        <w:rPr>
          <w:color w:val="5A7D3A"/>
          <w:sz w:val="18"/>
        </w:rPr>
        <w:t>https://pubmed.ncbi.nlm.nih.gov/42849922/</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