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Kardiologie</w:t>
      </w:r>
    </w:p>
    <w:p>
      <w:r>
        <w:rPr>
          <w:i/>
          <w:color w:val="666666"/>
          <w:sz w:val="18"/>
        </w:rPr>
        <w:t>Stand: 06.10.2026  |  5 Studien  |  kardio.m-vf.de</w:t>
      </w:r>
    </w:p>
    <w:p>
      <w:pPr>
        <w:pStyle w:val="Heading1"/>
      </w:pPr>
      <w:r>
        <w:t>Aufgenommen am 06.10.2026</w:t>
      </w:r>
    </w:p>
    <w:p>
      <w:pPr>
        <w:pStyle w:val="Heading2"/>
      </w:pPr>
      <w:r>
        <w:t>Häufig übersehene Warnsymptome vor plötzlichem Herzstillstand bei Kindern</w:t>
      </w:r>
    </w:p>
    <w:p>
      <w:r>
        <w:rPr>
          <w:i/>
          <w:color w:val="666666"/>
          <w:sz w:val="18"/>
        </w:rPr>
        <w:t>Tollit J et al.  ·  Open Heart  ·  05.10.2026  ·  PMID 42833702</w:t>
      </w:r>
    </w:p>
    <w:p>
      <w:r>
        <w:t>Retrospektive Analyse von 58 Kindern mit überlebtem außerklinischem Herzstillstand ohne bekannte kardiale Vordiagnose in einem britischen Spezialistenzen­trum (1996–2025); Erfassung von Symptomen vor dem Ereignis.</w:t>
      </w:r>
    </w:p>
    <w:p>
      <w:r>
        <w:rPr>
          <w:b/>
        </w:rPr>
        <w:t xml:space="preserve">Ergebnis: </w:t>
      </w:r>
      <w:r>
        <w:t>50,9 % (28/58) hatten kardiale Warnsymptome vor dem Herzstillstand, davon 23,6 % (13/58) mit Synkopen; von diesen 13 Synkopen-Patienten suchten nur 3 ärztliche Hilfe auf. Nach Herzstillstand wurde bei 72,4 % (42/58) eine vererbte Herzerkrankung diagnostiziert, am häufigsten hypertrophe Kardiomyopathie (29,8 %). Potenzielle Chancen zur Früherkennung wurden überwiegend verpasst.</w:t>
      </w:r>
    </w:p>
    <w:p>
      <w:r>
        <w:rPr>
          <w:b/>
          <w:sz w:val="19"/>
        </w:rPr>
        <w:t xml:space="preserve">Übertragbarkeit: </w:t>
      </w:r>
      <w:r>
        <w:rPr>
          <w:sz w:val="19"/>
        </w:rPr>
        <w:t>UK-Spezialzentrum; Struktur der Primärversorgung und Triage in Deutschland vergleichbar.</w:t>
      </w:r>
    </w:p>
    <w:p>
      <w:r>
        <w:rPr>
          <w:color w:val="5A7D3A"/>
          <w:sz w:val="18"/>
        </w:rPr>
        <w:t>https://pubmed.ncbi.nlm.nih.gov/42833702/</w:t>
      </w:r>
    </w:p>
    <w:p>
      <w:pPr>
        <w:pStyle w:val="Heading2"/>
      </w:pPr>
      <w:r>
        <w:t>Entzündung ohne Ödem deutet auf Vernarbung bei tuberkulöser Perikarditis hin</w:t>
      </w:r>
    </w:p>
    <w:p>
      <w:r>
        <w:rPr>
          <w:i/>
          <w:color w:val="666666"/>
          <w:sz w:val="18"/>
        </w:rPr>
        <w:t>Giliomee LJ et al.  ·  Open Heart  ·  05.10.2026  ·  PMID 42833701</w:t>
      </w:r>
    </w:p>
    <w:p>
      <w:r>
        <w:t>Prospektive Kohortenstudie mit Baseline- und 6-Monats-Kardio-MRT bei tuberkulöser Perikarditis (Südafrika); Untersuchung, wie Entzündungsmarker und Ödem die Vorhersage einer Perikardverfestigung verbessern.</w:t>
      </w:r>
    </w:p>
    <w:p>
      <w:r>
        <w:rPr>
          <w:b/>
        </w:rPr>
        <w:t xml:space="preserve">Ergebnis: </w:t>
      </w:r>
      <w:r>
        <w:t>Von 633 ödematösen Segmenten zeigten 20,7 % Versteifung bei Follow-up, von 267 nicht-ödematösen Segmenten 51,7 % (p&lt;0,001). Höhere Baseline-Entzündungslast war unabhängig mit Versteifung assoziiert (OR 1,32 pro SD-Anstieg, 95%-KI 1,12–1,55; p=0,0011); Baseline-Ödem war protektiv (OR 0,29, 95%-KI 0,20–0,43; p&lt;0,001). Interpretation: Ödem spiegelt akute reversible, intensive Entzündung ohne Ödem eher fibroseanfällige Phänotypen wider.</w:t>
      </w:r>
    </w:p>
    <w:p>
      <w:r>
        <w:rPr>
          <w:b/>
          <w:sz w:val="19"/>
        </w:rPr>
        <w:t xml:space="preserve">Übertragbarkeit: </w:t>
      </w:r>
      <w:r>
        <w:rPr>
          <w:sz w:val="19"/>
        </w:rPr>
        <w:t>Südafrika-Spezialistenzen­trum; Mechanismus der Fibroseentwicklung grundlagenrelevant, Übertragbarkeit auf TB-Epidemiologie Europas begrenzt.</w:t>
      </w:r>
    </w:p>
    <w:p>
      <w:r>
        <w:rPr>
          <w:color w:val="5A7D3A"/>
          <w:sz w:val="18"/>
        </w:rPr>
        <w:t>https://pubmed.ncbi.nlm.nih.gov/42833701/</w:t>
      </w:r>
    </w:p>
    <w:p>
      <w:pPr>
        <w:pStyle w:val="Heading2"/>
      </w:pPr>
      <w:r>
        <w:t>Lebenserwartung kein Kriterium: Alter allein rechtfertigt Verzicht auf Aortenklappenersatz</w:t>
      </w:r>
    </w:p>
    <w:p>
      <w:r>
        <w:rPr>
          <w:i/>
          <w:color w:val="666666"/>
          <w:sz w:val="18"/>
        </w:rPr>
        <w:t>Demir OM et al.  ·  Open Heart  ·  05.10.2026  ·  PMID 42833700</w:t>
      </w:r>
    </w:p>
    <w:p>
      <w:r>
        <w:t>Konzeptionelle Analyse zur Fehlinterpretation der Lebenserwartung bei Entscheidungen über Aortenklappenintervention im höheren Alter; Darlegung, warum Alter kein valider Proxy für Futilität ist.</w:t>
      </w:r>
    </w:p>
    <w:p>
      <w:r>
        <w:rPr>
          <w:b/>
        </w:rPr>
        <w:t xml:space="preserve">Ergebnis: </w:t>
      </w:r>
      <w:r>
        <w:t>Life Expectancy bei Geburt ist Populationsmittelwert, nicht individuelle Obergrenze. Ein 90-Jähriger in England/Wales hat noch durchschnittlich 3,9 Jahre Lebenserwartung; ein durchschnittlicher 82-Jähriger wird älter als ein 72-Jähriger. Wer die Durchschnittserwartung übertroffen hat, gehört zu langlebigeren Stratum und könnte am meisten von dauerhafter Klappe profitieren. Futilität ist real (fortgeschrittene Herzschäden, Gebrechlichkeit, dominante Komorbiditäten), aber Alter ist ungenauer Proxy. Empfehlung: Altersbasierte Nihilismus ersetzen durch Stadium-, Schadensausmaß- und Komorbiditäts-adjustierte Prognose mit explizit dokumentiertem erwarteten Nutzen im Shared Decision-Making.</w:t>
      </w:r>
    </w:p>
    <w:p>
      <w:r>
        <w:rPr>
          <w:b/>
          <w:sz w:val="19"/>
        </w:rPr>
        <w:t xml:space="preserve">Übertragbarkeit: </w:t>
      </w:r>
      <w:r>
        <w:rPr>
          <w:sz w:val="19"/>
        </w:rPr>
        <w:t>Britischer Fachdiskurs; Konzept auf deutsche Klappen-DMP und TAVI-Indikation übertragbar.</w:t>
      </w:r>
    </w:p>
    <w:p>
      <w:r>
        <w:rPr>
          <w:color w:val="5A7D3A"/>
          <w:sz w:val="18"/>
        </w:rPr>
        <w:t>https://pubmed.ncbi.nlm.nih.gov/42833700/</w:t>
      </w:r>
    </w:p>
    <w:p>
      <w:pPr>
        <w:pStyle w:val="Heading2"/>
      </w:pPr>
      <w:r>
        <w:t>Vorhofflimmern nach Schlaganfall: Phänotypisierung für gezieltes Screening</w:t>
      </w:r>
    </w:p>
    <w:p>
      <w:r>
        <w:rPr>
          <w:i/>
          <w:color w:val="666666"/>
          <w:sz w:val="18"/>
        </w:rPr>
        <w:t>van Kempen EJ et al.  ·  Open Heart  ·  05.10.2026  ·  PMID 42833699</w:t>
      </w:r>
    </w:p>
    <w:p>
      <w:r>
        <w:t>Retrospektive Kohortenstudie von 1836 Schlaganfall-Patienten in den Niederlanden (Jan 2019–Okt 2024); Charakterisierung von Patienten mit neu detektiertem oder bekanntem Vorhofflimmern und zugehörigen Risikofaktoren.</w:t>
      </w:r>
    </w:p>
    <w:p>
      <w:r>
        <w:rPr>
          <w:b/>
        </w:rPr>
        <w:t xml:space="preserve">Ergebnis: </w:t>
      </w:r>
      <w:r>
        <w:t>Vorhofflimmern lag bei 30,5 % vor: 19,7 % bekannt, 10,8 % neu diagnostiziert. Ein Machine-Learning-Phänotyp (generative topographic mapping) mit älterem Alter, schwerer Schlaganfall, Schlaganfall-Vorgeschichte, Hypertonie, Diabetes, hoher kardialer Last (KHK, Herzklappenfehler, Herzinsuffizienz), reduzierter Nierenfunktion und Zeichen der Vorhofumgestaltung zeigte 47,9 % AF-Prävalenz. Schweregrad, kardiale Last und Vorhofumgestaltung waren stärkste Prädiktoren.</w:t>
      </w:r>
    </w:p>
    <w:p>
      <w:r>
        <w:rPr>
          <w:b/>
          <w:sz w:val="19"/>
        </w:rPr>
        <w:t xml:space="preserve">Übertragbarkeit: </w:t>
      </w:r>
      <w:r>
        <w:rPr>
          <w:sz w:val="19"/>
        </w:rPr>
        <w:t>Niederländische Universitätsklinik, vergleichbares Sozialversicherungssystem und Dokumentation.</w:t>
      </w:r>
    </w:p>
    <w:p>
      <w:r>
        <w:rPr>
          <w:color w:val="5A7D3A"/>
          <w:sz w:val="18"/>
        </w:rPr>
        <w:t>https://pubmed.ncbi.nlm.nih.gov/42833699/</w:t>
      </w:r>
    </w:p>
    <w:p>
      <w:pPr>
        <w:pStyle w:val="Heading2"/>
      </w:pPr>
      <w:r>
        <w:t>Sterblichkeitsmuster und Prädiktoren bei Herzinsuffizienz in Thailand</w:t>
      </w:r>
    </w:p>
    <w:p>
      <w:r>
        <w:rPr>
          <w:i/>
          <w:color w:val="666666"/>
          <w:sz w:val="18"/>
        </w:rPr>
        <w:t>Yingchoncharoen T et al.  ·  Open Heart  ·  05.10.2026  ·  PMID 42833698</w:t>
      </w:r>
    </w:p>
    <w:p>
      <w:r>
        <w:t>Prospektive Kohortenstudie von 2879 Herzinsuffizienz-Patienten aus dem Thai Heart Failure Registry (Jan 2021–Dez 2023); Erfassung von Todesursachen und Mortalitätsprädiktoren.</w:t>
      </w:r>
    </w:p>
    <w:p>
      <w:r>
        <w:rPr>
          <w:b/>
        </w:rPr>
        <w:t xml:space="preserve">Ergebnis: </w:t>
      </w:r>
      <w:r>
        <w:t>Über 23 Monate: 301 Todesfälle (10,5 %), Inzidenzrate 6,8/100 Personen-Jahre. Kardiovaskulär 49,5 % (149), nicht-kardiovaskulär 38,5 % (116), ungeklärt 12,0 % (36). Bei HFrEF/HFmrEF überwog kardiovaskuläre Mortalität (5,3 % vs. 3,9 %), bei HFpEF nicht-kardiovaskulär höher (5,5 % vs. 4,1 %, besonders Sepsis). Unabhängige Mortalitätsprädiktoren: ischämische Ätiologie (HR 1,34; 95%-KI 1,06–1,69), Vorhofflimmern (HR 1,57; 1,24–2,00), periphere Ödeme (HR 2,11; 1,57–2,85), Hyponatriämie (HR 1,83; 1,39–2,39), Hypokaliämie (HR 1,44; 1,06–1,95), erhöhtes Harnstoff-Stickstoff (HR 1,56; 1,23–1,98), Schleifen-Diuretika (HR 1,61; 1,21–2,14). Gute Therapieadhärenz assoziiert mit niedrigerer Mortalität.</w:t>
      </w:r>
    </w:p>
    <w:p>
      <w:r>
        <w:rPr>
          <w:b/>
          <w:sz w:val="19"/>
        </w:rPr>
        <w:t xml:space="preserve">Übertragbarkeit: </w:t>
      </w:r>
      <w:r>
        <w:rPr>
          <w:sz w:val="19"/>
        </w:rPr>
        <w:t>Thailand-Register mit breiter Abdeckung; Befunde zu Elektrolytstörungen und Diuretika-Nutzen international übertragbar.</w:t>
      </w:r>
    </w:p>
    <w:p>
      <w:r>
        <w:rPr>
          <w:color w:val="5A7D3A"/>
          <w:sz w:val="18"/>
        </w:rPr>
        <w:t>https://pubmed.ncbi.nlm.nih.gov/42833698/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Kardiologie</dc:title>
  <dc:subject/>
  <dc:creator>Monitor Versorgungsforschung</dc:creator>
  <cp:keywords/>
  <dc:description>generated by python-docx</dc:description>
  <cp:lastModifiedBy/>
  <cp:revision>1</cp:revision>
  <dcterms:created xsi:type="dcterms:W3CDTF">2026-10-06T06:00:00Z</dcterms:created>
  <dcterms:modified xsi:type="dcterms:W3CDTF">2026-10-06T06:00:00Z</dcterms:modified>
  <cp:category/>
</cp:coreProperties>
</file>