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Neueste Studien - Kardiologie</w:t>
      </w:r>
    </w:p>
    <w:p>
      <w:r>
        <w:rPr>
          <w:i/>
          <w:color w:val="666666"/>
          <w:sz w:val="18"/>
        </w:rPr>
        <w:t>Stand: 20.09.2026  |  6 Studien  |  kardio.m-vf.de</w:t>
      </w:r>
    </w:p>
    <w:p>
      <w:pPr>
        <w:pStyle w:val="Heading1"/>
      </w:pPr>
      <w:r>
        <w:t>Aufgenommen am 20.09.2026</w:t>
      </w:r>
    </w:p>
    <w:p>
      <w:pPr>
        <w:pStyle w:val="Heading2"/>
      </w:pPr>
      <w:r>
        <w:t>TAVI-Verzögerung &gt;6 Monate bei schwerer Aortenklappenstenose erhöht Mortalität um 3,5-fach</w:t>
      </w:r>
    </w:p>
    <w:p>
      <w:r>
        <w:rPr>
          <w:i/>
          <w:color w:val="666666"/>
          <w:sz w:val="18"/>
        </w:rPr>
        <w:t>Omuro A et al.  ·  Open Heart  ·  18.09.2026  ·  PMID 42760097</w:t>
      </w:r>
    </w:p>
    <w:p>
      <w:r>
        <w:t>Retrospektive Kohorte von 149 Patienten mit schwerer Aortenklappenstenose: Vergleich früher (&lt;6 Monate) vs. verzögerter (&gt;6 Monate) TAVI auf klinische Ergebnisse.</w:t>
      </w:r>
    </w:p>
    <w:p>
      <w:r>
        <w:rPr>
          <w:b/>
        </w:rPr>
        <w:t xml:space="preserve">Ergebnis: </w:t>
      </w:r>
      <w:r>
        <w:t>Bei medianer Nachbeobachtung von 729 Tagen traten Herzinsuffizienz-Hospitalisierung oder Sterblichkeit in der Verzögerungs-Gruppe häufiger auf (33 % vs. 16 %, p=0,013). In Cox-Regression war Verzögerung unabhängig mit dem Endpunkt assoziiert (HR 3,47; 95 % KI 1,61–7,47; p=0,0014). Höhere Clinical Frailty Scale war auch prädiktiv (HR 1,62).</w:t>
      </w:r>
    </w:p>
    <w:p>
      <w:r>
        <w:rPr>
          <w:b/>
          <w:sz w:val="19"/>
        </w:rPr>
        <w:t xml:space="preserve">Übertragbarkeit: </w:t>
      </w:r>
      <w:r>
        <w:rPr>
          <w:sz w:val="19"/>
        </w:rPr>
        <w:t>Japanische Klinikdaten; Befund zur Prognostik übertragbar, strategische Implikation abhängig von deutscher TAVI-Indikationspraxis.</w:t>
      </w:r>
    </w:p>
    <w:p>
      <w:r>
        <w:rPr>
          <w:color w:val="5A7D3A"/>
          <w:sz w:val="18"/>
        </w:rPr>
        <w:t>https://pubmed.ncbi.nlm.nih.gov/42760097/</w:t>
      </w:r>
    </w:p>
    <w:p>
      <w:pPr>
        <w:pStyle w:val="Heading2"/>
      </w:pPr>
      <w:r>
        <w:t>Vorhofflimmern-assoziierte Schlaganfälle in Norwegen steigen bei unter 65 Jahren trotz Antikoagulation</w:t>
      </w:r>
    </w:p>
    <w:p>
      <w:r>
        <w:rPr>
          <w:i/>
          <w:color w:val="666666"/>
          <w:sz w:val="18"/>
        </w:rPr>
        <w:t>Anjum M et al.  ·  J Am Heart Assoc  ·  18.09.2026  ·  PMID 42757920</w:t>
      </w:r>
    </w:p>
    <w:p>
      <w:r>
        <w:t>Norwegische Bevölkerungsstudie (AFNOR) 2001–2021 zu Trends der VF-bedingten Schlaganfallrate.</w:t>
      </w:r>
    </w:p>
    <w:p>
      <w:r>
        <w:rPr>
          <w:b/>
        </w:rPr>
        <w:t xml:space="preserve">Ergebnis: </w:t>
      </w:r>
      <w:r>
        <w:t>66.795 (29,4 %) von 227.575 Schlaganfällen waren VF-assoziiert. Gesamtinzidenz VF-ischämischer Schlaganfälle stabil (67,8 pro 100.000 2001 vs. 68,4 pro 100.000 2021; IRR 1,01), aber Anstieg bei 15–64 Jahren. 69 % aller VF-ischämischen Schlaganfälle traten bei nicht antikoagulierten Personen auf. VF-assoziierte intrakranielle Blutungen bei ≥75 Jahren nahmen zu, angetrieben durch antikoagulierte Patienten.</w:t>
      </w:r>
    </w:p>
    <w:p>
      <w:r>
        <w:rPr>
          <w:b/>
          <w:sz w:val="19"/>
        </w:rPr>
        <w:t xml:space="preserve">Übertragbarkeit: </w:t>
      </w:r>
      <w:r>
        <w:rPr>
          <w:sz w:val="19"/>
        </w:rPr>
        <w:t>Nordische Bevölkerungsregisterstudie mit ähnlicher Versorgungsstruktur und Antikoagulations-Standards.</w:t>
      </w:r>
    </w:p>
    <w:p>
      <w:r>
        <w:rPr>
          <w:color w:val="5A7D3A"/>
          <w:sz w:val="18"/>
        </w:rPr>
        <w:t>https://pubmed.ncbi.nlm.nih.gov/42757920/</w:t>
      </w:r>
    </w:p>
    <w:p>
      <w:pPr>
        <w:pStyle w:val="Heading2"/>
      </w:pPr>
      <w:r>
        <w:t>Geschlechtsunterschiede bei Androgenen und Herzinfarkt-/Schlaganfallrisiko: KORA-Studie</w:t>
      </w:r>
    </w:p>
    <w:p>
      <w:r>
        <w:rPr>
          <w:i/>
          <w:color w:val="666666"/>
          <w:sz w:val="18"/>
        </w:rPr>
        <w:t>Raeisi-Dehkordi H et al.  ·  J Am Heart Assoc  ·  18.09.2026  ·  PMID 42757908</w:t>
      </w:r>
    </w:p>
    <w:p>
      <w:r>
        <w:t>Beobachtungsstudie an 1.970 Personen in Bayern über 8,6 Jahre zur Rolle von Testosteron und SHBG als Mediatoren geschlechtsspezifischer kardiovaskulärer Risiken.</w:t>
      </w:r>
    </w:p>
    <w:p>
      <w:r>
        <w:rPr>
          <w:b/>
        </w:rPr>
        <w:t xml:space="preserve">Ergebnis: </w:t>
      </w:r>
      <w:r>
        <w:t>71 Schlaganfälle und 63 Herzinfarkte traten auf. Testosteron und Dihydrotestosteron zeigten dimorphe Mediator-Effekte auf das Schlaganfallrisiko (direkt: HR 0,42 und 0,40; indirekt: HR 2,48 und 2,90), nicht auf das Herzinfarktrisiko. Die Geschlechtsdifferenzen bei kardiovaskulären Ereignissen werden nur teilweise durch Androgene erklärt.</w:t>
      </w:r>
    </w:p>
    <w:p>
      <w:r>
        <w:rPr>
          <w:b/>
          <w:sz w:val="19"/>
        </w:rPr>
        <w:t xml:space="preserve">Übertragbarkeit: </w:t>
      </w:r>
      <w:r>
        <w:rPr>
          <w:sz w:val="19"/>
        </w:rPr>
        <w:t>Deutsche Kohortendaten KORA mit Baseline-Messungen vergleichbar zu Versorgungsdaten.</w:t>
      </w:r>
    </w:p>
    <w:p>
      <w:r>
        <w:rPr>
          <w:color w:val="5A7D3A"/>
          <w:sz w:val="18"/>
        </w:rPr>
        <w:t>https://pubmed.ncbi.nlm.nih.gov/42757908/</w:t>
      </w:r>
    </w:p>
    <w:p>
      <w:pPr>
        <w:pStyle w:val="Heading2"/>
      </w:pPr>
      <w:r>
        <w:t>GLP-1-RA und SGLT2i mit kombinierter Therapie senken Sterblichkeit nach VF-Ablation auf 40 %</w:t>
      </w:r>
    </w:p>
    <w:p>
      <w:r>
        <w:rPr>
          <w:i/>
          <w:color w:val="666666"/>
          <w:sz w:val="18"/>
        </w:rPr>
        <w:t>Ramadan A et al.  ·  Heart Rhythm  ·  17.09.2026  ·  PMID 42753998</w:t>
      </w:r>
    </w:p>
    <w:p>
      <w:r>
        <w:t>TriNetX-Datenbank 2018–2024: Vergleich von Glukagon-ähnlichem Peptid-1-Rezeptoragonist (GLP-1 RA), SGLT2-Inhibitor (SGLT2i) und Kombinationstherapie auf VF-Rezidiv und kardiovaskuläre Ergebnisse nach Katheter-Ablation.</w:t>
      </w:r>
    </w:p>
    <w:p>
      <w:r>
        <w:rPr>
          <w:b/>
        </w:rPr>
        <w:t xml:space="preserve">Ergebnis: </w:t>
      </w:r>
      <w:r>
        <w:t>Bei 1.393 Patienten pro Gruppe war VF-Rezidiv ähnlich unter GLP-1 RA vs. SGLT2i (HR 1,01; p=0,86). Kombinationstherapie vs. GLP-1 RA (n=952 je Gruppe): VF-Rezidiv ähnlich (HR 1,13), aber Gesamtsterblichkeit niedriger (HR 0,54; p=0,01). Kombinationstherapie vs. SGLT2i (n=1.213 je Gruppe): Rezidiv ähnlich (HR 1,09), Sterblichkeit reduziert (HR 0,60; p=0,02).</w:t>
      </w:r>
    </w:p>
    <w:p>
      <w:r>
        <w:rPr>
          <w:b/>
          <w:sz w:val="19"/>
        </w:rPr>
        <w:t xml:space="preserve">Übertragbarkeit: </w:t>
      </w:r>
      <w:r>
        <w:rPr>
          <w:sz w:val="19"/>
        </w:rPr>
        <w:t>USA-Datenbank TriNetX; Medikationsmuster übertragbar für Deutschland, aber VF-Ablations-Strategien unterscheiden sich regional.</w:t>
      </w:r>
    </w:p>
    <w:p>
      <w:r>
        <w:rPr>
          <w:color w:val="5A7D3A"/>
          <w:sz w:val="18"/>
        </w:rPr>
        <w:t>https://pubmed.ncbi.nlm.nih.gov/42753998/</w:t>
      </w:r>
    </w:p>
    <w:p>
      <w:pPr>
        <w:pStyle w:val="Heading2"/>
      </w:pPr>
      <w:r>
        <w:t>Persistente CRP-Erhöhung erhöht Herzinsuffizienz-Inzidenz um 34 % bei erhöhtem kardiovaskulärem Risiko</w:t>
      </w:r>
    </w:p>
    <w:p>
      <w:r>
        <w:rPr>
          <w:i/>
          <w:color w:val="666666"/>
          <w:sz w:val="18"/>
        </w:rPr>
        <w:t>Busti M et al.  ·  Int J Cardiol  ·  16.09.2026  ·  PMID 42749086</w:t>
      </w:r>
    </w:p>
    <w:p>
      <w:r>
        <w:t>Multizentrische elektronische Gesundheitsakte-Studie mit 64.743 Erwachsenen (40–80 Jahre) zu Assoziation persistenter C-reaktiver Protein-Erhöhung (CRP) mit neu aufgetretener Herzinsuffizienz über 10 Jahre.</w:t>
      </w:r>
    </w:p>
    <w:p>
      <w:r>
        <w:rPr>
          <w:b/>
        </w:rPr>
        <w:t xml:space="preserve">Ergebnis: </w:t>
      </w:r>
      <w:r>
        <w:t>Erhöhtes CRP (3,1–10,0 mg/L vs. 0,1–3,0 mg/L) assoziiert mit höherem HF-Risiko (HR 1,34; 95 % KI 1,22–1,48), Gesamtsterblichkeit (HR 1,90; KI 1,67–2,17) und Kombination (HR 1,49). Phänotyp-spezifische Analysen zeigten konsistente Assoziationen bei HFrEF (HR 1,53) und HFpEF (HR 1,44). Stärkerer Effekt bei Nicht-Adipösen.</w:t>
      </w:r>
    </w:p>
    <w:p>
      <w:r>
        <w:rPr>
          <w:b/>
          <w:sz w:val="19"/>
        </w:rPr>
        <w:t xml:space="preserve">Übertragbarkeit: </w:t>
      </w:r>
      <w:r>
        <w:rPr>
          <w:sz w:val="19"/>
        </w:rPr>
        <w:t>TriNetX-Netzwerk, Amerika und internationale Standorte; Inflammations-Biomarker-Assoziationen konzeptionell übertragbar, aber US-Datenschutz-Standards unterschiedlich.</w:t>
      </w:r>
    </w:p>
    <w:p>
      <w:r>
        <w:rPr>
          <w:color w:val="5A7D3A"/>
          <w:sz w:val="18"/>
        </w:rPr>
        <w:t>https://pubmed.ncbi.nlm.nih.gov/42749086/</w:t>
      </w:r>
    </w:p>
    <w:p>
      <w:pPr>
        <w:pStyle w:val="Heading2"/>
      </w:pPr>
      <w:r>
        <w:t>Psychiatrische Störungen nach Trauma als Herz-Kreislauf-Risiko: dänische Registerstudie</w:t>
      </w:r>
    </w:p>
    <w:p>
      <w:r>
        <w:rPr>
          <w:i/>
          <w:color w:val="666666"/>
          <w:sz w:val="18"/>
        </w:rPr>
        <w:t>Sumner JA et al.  ·  J Am Heart Assoc  ·  15.09.2026  ·  PMID 42684053</w:t>
      </w:r>
    </w:p>
    <w:p>
      <w:r>
        <w:t>Populationsbasierte Fallkontroll-Studie zu psychischen Folgeerkrankungen nach Traumaexposition und Risiko für Major Adverse Cardiac and Cerebrovascular Events (MACCE).</w:t>
      </w:r>
    </w:p>
    <w:p>
      <w:r>
        <w:rPr>
          <w:b/>
        </w:rPr>
        <w:t xml:space="preserve">Ergebnis: </w:t>
      </w:r>
      <w:r>
        <w:t>Unter 43.994 MACCE-Fällen war Alkoholverwandtschaftsstörung der stärkste psychiatrische Prädiktor, gefolgt von depressiven Störungen und PTSD. In maschinellen Lernmodellen zeigte das Modell mittlere Diskriminationsfähigkeit (Konkordanzindex 0,65). Depressionen waren bei Frauen stärker assoziiert als bei Männern. Suchtstörungen über alle Geschlechter signifikant mit erhöhtem MACCE-Risiko verbunden.</w:t>
      </w:r>
    </w:p>
    <w:p>
      <w:r>
        <w:rPr>
          <w:b/>
          <w:sz w:val="19"/>
        </w:rPr>
        <w:t xml:space="preserve">Übertragbarkeit: </w:t>
      </w:r>
      <w:r>
        <w:rPr>
          <w:sz w:val="19"/>
        </w:rPr>
        <w:t>Dänisches Universalregister 1995–2021, ähnliches Gesundheitssystem wie Deutschland.</w:t>
      </w:r>
    </w:p>
    <w:p>
      <w:r>
        <w:rPr>
          <w:color w:val="5A7D3A"/>
          <w:sz w:val="18"/>
        </w:rPr>
        <w:t>https://pubmed.ncbi.nlm.nih.gov/42684053/</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Neueste Studien - Kardiologie</dc:title>
  <dc:subject/>
  <dc:creator>Monitor Versorgungsforschung</dc:creator>
  <cp:keywords/>
  <dc:description>generated by python-docx</dc:description>
  <cp:lastModifiedBy/>
  <cp:revision>1</cp:revision>
  <dcterms:created xsi:type="dcterms:W3CDTF">2026-09-20T06:00:00Z</dcterms:created>
  <dcterms:modified xsi:type="dcterms:W3CDTF">2026-09-20T06:00:00Z</dcterms:modified>
  <cp:category/>
</cp:coreProperties>
</file>