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07.10.2026  |  6 Studien  |  kardio.m-vf.de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Flecainid konvertiert paroxysmales Vorhofflimmern bei KHK rascher als Amiodaron ohne Proarrhythmie</w:t>
      </w:r>
    </w:p>
    <w:p>
      <w:r>
        <w:rPr>
          <w:i/>
          <w:color w:val="666666"/>
          <w:sz w:val="18"/>
        </w:rPr>
        <w:t>Tsioufis PA et al.  ·  Heart Rhythm  ·  06.10.2026  ·  PMID 42838320</w:t>
      </w:r>
    </w:p>
    <w:p>
      <w:r>
        <w:t>Randomisierte, offene Multizenterstudie mit 87 Patienten mit paroxysmales Vorhofflimmern und dokumentierter KHK ohne Restischämie: Vergleich intravenöser Flecainid vs. Amiodaron zur akuten Kardioversion in der Notaufnahme.</w:t>
      </w:r>
    </w:p>
    <w:p>
      <w:r>
        <w:rPr>
          <w:b/>
        </w:rPr>
        <w:t xml:space="preserve">Ergebnis: </w:t>
      </w:r>
      <w:r>
        <w:t>Konversion zu Sinusrhythmus innerhalb 6 Stunden: Flecainid 85,7 % vs. Amiodaron 40,0 % (p&lt;0,001). Mediane Konversionszeit: 20 Min. vs. 244 Min. (p&lt;0,001). Krankenhausaufnahme: 14,3 % vs. 60,0 % (p&lt;0,001). Keine ventrikulären Proarrhythmien über 24 Stunden in beiden Gruppen, kein Tod bis 30 Tage. Hypothese-generierende Evidenz gegen die bisherige KHK-Kontraindikation bei fehlender Restischämie.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Griechische akademische Studie, mediterrane KHK-Population; Sicherheitsbefund übertragbar, Dosierungskonzept dem deutschen Versorgungsalltag angepasst.</w:t>
      </w:r>
    </w:p>
    <w:p>
      <w:r>
        <w:rPr>
          <w:color w:val="5A7D3A"/>
          <w:sz w:val="18"/>
        </w:rPr>
        <w:t>https://pubmed.ncbi.nlm.nih.gov/42838320/</w:t>
      </w:r>
    </w:p>
    <w:p>
      <w:pPr>
        <w:pStyle w:val="Heading2"/>
      </w:pPr>
      <w:r>
        <w:t>Sirolimus-Ballons bei hochblutungsrisiko-Patienten: geringere Target-Vessel-Failure-Rate als Drug-Eluting-Stents</w:t>
      </w:r>
    </w:p>
    <w:p>
      <w:r>
        <w:rPr>
          <w:i/>
          <w:color w:val="666666"/>
          <w:sz w:val="18"/>
        </w:rPr>
        <w:t>Rissanen TT et al.  ·  EuroIntervention  ·  05.10.2026  ·  PMID 42837205</w:t>
      </w:r>
    </w:p>
    <w:p>
      <w:r>
        <w:t>Substudie der SELUTION-DeNovo-Studie verglich bei 522 Hochrisiko-Patienten die Strategie Sirolimus-eluierende Ballons (mit fakultativem Stenting) gegen systematische Drug-Eluting-Stents.</w:t>
      </w:r>
    </w:p>
    <w:p>
      <w:r>
        <w:rPr>
          <w:b/>
        </w:rPr>
        <w:t xml:space="preserve">Ergebnis: </w:t>
      </w:r>
      <w:r>
        <w:t>Target Vessel Failure nach 1 Jahr in der Ballon-Gruppe 4,9 % vs. DES-Gruppe 7,9 % (absolute Risikodifferenz −3,05 %, 95%-KI: −7,27–1,17). Schwere Blutungen (BARC 3-5): 2,3 % vs. 3,2 %. Alle Antiplatelet-Medikation wurde in 27,8 % der Ballon-Gruppe vs. 14,9 % der DES-Gruppe nach 6 Monaten pausiert. Eine sichere Alternative zu systematischem Stenting bei ausgewählten Hochrisiko-Patienten.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Multizenterstudie, vergleichbare Versorgungssysteme, hohe Übertragbarkeit auf deutsche Praxis.</w:t>
      </w:r>
    </w:p>
    <w:p>
      <w:r>
        <w:rPr>
          <w:color w:val="5A7D3A"/>
          <w:sz w:val="18"/>
        </w:rPr>
        <w:t>https://pubmed.ncbi.nlm.nih.gov/42837205/</w:t>
      </w:r>
    </w:p>
    <w:p>
      <w:pPr>
        <w:pStyle w:val="Heading2"/>
      </w:pPr>
      <w:r>
        <w:t>SYNTAX-Score und mikroaxiales Pumpen-Support bei kardiogenem Schock: komplexe Koronararterien verschlechtern Prognose</w:t>
      </w:r>
    </w:p>
    <w:p>
      <w:r>
        <w:rPr>
          <w:i/>
          <w:color w:val="666666"/>
          <w:sz w:val="18"/>
        </w:rPr>
        <w:t>Marquard JM et al.  ·  EuroIntervention  ·  05.10.2026  ·  PMID 42837204</w:t>
      </w:r>
    </w:p>
    <w:p>
      <w:r>
        <w:t>Sekundäranalyse der DanGer-Shock-Studie mit 256 Patienten mit Mehrgefäßerkrankung und infarktbedingtem kardiogenem Schock zur prognostischen Bedeutung des SYNTAX-Scores und Effekt der mechanischen Unterstützung.</w:t>
      </w:r>
    </w:p>
    <w:p>
      <w:r>
        <w:rPr>
          <w:b/>
        </w:rPr>
        <w:t xml:space="preserve">Ergebnis: </w:t>
      </w:r>
      <w:r>
        <w:t>Hoher Baseline-SYNTAX-Score (&gt;32) assoziiert mit erhöhtem Odds Ratio für 180-Tage-Mortalität: 3,12 (95%-KI: 1,17–8,69) verglichen mit niedrigem Score. Residualer SYNTAX-Score unabhängiger Mortalitätsprädiktor. Bei isolierter Linkshauptsstamm-Läsion zeigte mikroaxiales Pumpen-Support-System Vorteil (adjustiertes OR 0,17, 95%-KI: 0,03–0,99).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Dänisch-deutsches Multizentrenkonsortium, vergleichbare europäische Strukturen und Ressourcen.</w:t>
      </w:r>
    </w:p>
    <w:p>
      <w:r>
        <w:rPr>
          <w:color w:val="5A7D3A"/>
          <w:sz w:val="18"/>
        </w:rPr>
        <w:t>https://pubmed.ncbi.nlm.nih.gov/42837204/</w:t>
      </w:r>
    </w:p>
    <w:p>
      <w:pPr>
        <w:pStyle w:val="Heading2"/>
      </w:pPr>
      <w:r>
        <w:t>Standardisierte Erfolgsbeurteilung nach PCI identifiziert 12 % zusätzliche Hochrisiko-Läsionen</w:t>
      </w:r>
    </w:p>
    <w:p>
      <w:r>
        <w:rPr>
          <w:i/>
          <w:color w:val="666666"/>
          <w:sz w:val="18"/>
        </w:rPr>
        <w:t>Oshima A et al.  ·  EuroIntervention  ·  05.10.2026  ·  PMID 42837202</w:t>
      </w:r>
    </w:p>
    <w:p>
      <w:r>
        <w:t>Prospektive Analyse von 1.548 Patienten mit Dreigefäßerkrankung: Vergleich visueller Erfolgsbeurteilung durch Operateur versus standardisierte quantitative Koronarangiographie (QCA) und angio-FFR durch Core Lab.</w:t>
      </w:r>
    </w:p>
    <w:p>
      <w:r>
        <w:rPr>
          <w:b/>
        </w:rPr>
        <w:t xml:space="preserve">Ergebnis: </w:t>
      </w:r>
      <w:r>
        <w:t>Operator-bewerteter Device-Erfolg 97,4 %, aber Core-Lab-QCA nur 88,0 %, kombiniert QCA+angio-FFR 83,2 %. Läsionen ohne QCA-basierter Erfolgskriterien hatten höhere Lesion-Oriented-Composite-Endpoint-Rate nach 1 Jahr (12,0 % vs. 9,1 %, p=0,041). Standardisierte Kernlab-Bewertung reklassifiziert erheblichen Anteil visueller Erfolge und identifiziert Hochrisiko-Läsionen.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 mit standardisiertem Kernlab-Protokoll, hohe Übertragbarkeit auf deutsche Interventionszentren.</w:t>
      </w:r>
    </w:p>
    <w:p>
      <w:r>
        <w:rPr>
          <w:color w:val="5A7D3A"/>
          <w:sz w:val="18"/>
        </w:rPr>
        <w:t>https://pubmed.ncbi.nlm.nih.gov/42837202/</w:t>
      </w:r>
    </w:p>
    <w:p>
      <w:pPr>
        <w:pStyle w:val="Heading2"/>
      </w:pPr>
      <w:r>
        <w:t>Herzinsuffizienz-Patienten erreichen Intensivtraining-Ziele nicht; nur intensive Aktivität senkt NT-proBNP um 0,19 pg/ml pro Trainingsminute</w:t>
      </w:r>
    </w:p>
    <w:p>
      <w:r>
        <w:rPr>
          <w:i/>
          <w:color w:val="666666"/>
          <w:sz w:val="18"/>
        </w:rPr>
        <w:t>Leps C et al.  ·  ESC Heart Fail  ·  27.08.2026  ·  PMID 42836328</w:t>
      </w:r>
    </w:p>
    <w:p>
      <w:r>
        <w:t>Prospektive Beobachtungsstudie mit 156 Herzinsuffizienz-Patienten (NYHA I und II/III), die 12 Monate lang mit multisensorischem Activity Tracker kontinuierlich überwacht wurden, um Zusammenhänge zwischen Bewegungsumfang, Intensität und kardiovaskulären Outcomes zu klären.</w:t>
      </w:r>
    </w:p>
    <w:p>
      <w:r>
        <w:rPr>
          <w:b/>
        </w:rPr>
        <w:t xml:space="preserve">Ergebnis: </w:t>
      </w:r>
      <w:r>
        <w:t>Median wöchentliche moderate körperliche Aktivität (MPA) nur 225 Min. (NYHA I) bzw. 167 Min. (NYHA II/III); intensive Aktivität (VPA) nur 17 bzw. 9 Min./Woche. VPA positiv assoziiert mit maximaler Sauerstoffaufnahme (β=3,815, 95%-KI [1,43–10,19], p=0,008). MPA invers mit NT-proBNP assoziiert (β=−0,189, 95%-KI [−0,353–−0,025], p=0,024). Tägliche Schritte positiv mit VO₂max (β=0,545, p&lt;0,001), invers mit Fettmasse (β=−1,058, p&lt;0,001) und CRP (β=−0,057,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mit etablierten deutschen Rehabilitations-Zentren, direkt anwendbar auf deutsche Trainingsprogramme.</w:t>
      </w:r>
    </w:p>
    <w:p>
      <w:r>
        <w:rPr>
          <w:color w:val="5A7D3A"/>
          <w:sz w:val="18"/>
        </w:rPr>
        <w:t>https://pubmed.ncbi.nlm.nih.gov/42836328/</w:t>
      </w:r>
    </w:p>
    <w:p>
      <w:pPr>
        <w:pStyle w:val="Heading2"/>
      </w:pPr>
      <w:r>
        <w:t>Pflege-gesteuerte Titration von Herzinsuffizienz-Therapien: Implementierungs-Roadmap für Deutschland</w:t>
      </w:r>
    </w:p>
    <w:p>
      <w:r>
        <w:rPr>
          <w:i/>
          <w:color w:val="666666"/>
          <w:sz w:val="18"/>
        </w:rPr>
        <w:t>Gori M et al.  ·  ESC Heart Fail  ·  27.08.2026  ·  PMID 42836327</w:t>
      </w:r>
    </w:p>
    <w:p>
      <w:r>
        <w:t>Narrative Analyse zur praktischen Umsetzung nurse-led Titration von Guideline-Directed Medical Therapy (GDMT) in Italien und anderen europäischen Ländern; Beschreibung von Voraussetzungen, medizin-rechtliche Aspekte und operationales Flussdiagramm für die Implementierung.</w:t>
      </w:r>
    </w:p>
    <w:p>
      <w:r>
        <w:rPr>
          <w:b/>
        </w:rPr>
        <w:t xml:space="preserve">Ergebnis: </w:t>
      </w:r>
      <w:r>
        <w:t>Hauptvoraussetzungen sind dedizierte Schulung und standardisierte Management-Protokolle. Detaillierte ärztliche Verordnungen notwendig, die für jeden Patienten Timing, Methode und resultierende Maßnahmen spezifizieren. Multi-professionelle Strategie mit Pflege-gesteuerte GDMT-Titration empfohlen als Weg zur Verbesserung der Leitlinien-Umsetzung in der Routinepraxis. In Italien und vielen europäischen Ländern noch nicht 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Konsensusarbeit mit europäischen Zentren, unmittelbare Relevanz für deutsche Versorgungsstrukturen und DMP.</w:t>
      </w:r>
    </w:p>
    <w:p>
      <w:r>
        <w:rPr>
          <w:color w:val="5A7D3A"/>
          <w:sz w:val="18"/>
        </w:rPr>
        <w:t>https://pubmed.ncbi.nlm.nih.gov/42836327/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